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943AC" w14:textId="77777777" w:rsidR="009612D6" w:rsidRPr="005E7C0F" w:rsidRDefault="009612D6" w:rsidP="005E7C0F">
      <w:pPr>
        <w:jc w:val="center"/>
        <w:rPr>
          <w:rFonts w:ascii="Times New Roman" w:hAnsi="Times New Roman" w:cs="Times New Roman"/>
          <w:b/>
        </w:rPr>
      </w:pPr>
      <w:r w:rsidRPr="007B0D95">
        <w:rPr>
          <w:rFonts w:ascii="Times New Roman" w:hAnsi="Times New Roman" w:cs="Times New Roman"/>
          <w:b/>
          <w:color w:val="00B050"/>
          <w:sz w:val="28"/>
        </w:rPr>
        <w:t>Comparison of the Efficacy of Empagliflozin and Dapagliflozin in Reducing Proteinuria in Patients with Type 2 Diabetes Mellitus: A Randomized Controlled Tria</w:t>
      </w:r>
      <w:r w:rsidRPr="005E7C0F">
        <w:rPr>
          <w:rFonts w:ascii="Times New Roman" w:hAnsi="Times New Roman" w:cs="Times New Roman"/>
          <w:b/>
        </w:rPr>
        <w:t>l</w:t>
      </w:r>
    </w:p>
    <w:p w14:paraId="3FA60C01" w14:textId="77777777" w:rsidR="00A4241B" w:rsidRPr="005E7C0F" w:rsidRDefault="00A4241B" w:rsidP="006C2731">
      <w:pPr>
        <w:spacing w:after="0" w:line="240" w:lineRule="auto"/>
        <w:jc w:val="center"/>
        <w:rPr>
          <w:rFonts w:ascii="Times New Roman" w:hAnsi="Times New Roman" w:cs="Times New Roman"/>
          <w:b/>
          <w:bCs/>
        </w:rPr>
      </w:pPr>
      <w:r w:rsidRPr="005E7C0F">
        <w:rPr>
          <w:rFonts w:ascii="Times New Roman" w:hAnsi="Times New Roman" w:cs="Times New Roman"/>
          <w:b/>
          <w:bCs/>
        </w:rPr>
        <w:t>Bilal Javaid</w:t>
      </w:r>
      <w:r w:rsidR="00216E14" w:rsidRPr="005E7C0F">
        <w:rPr>
          <w:rFonts w:ascii="Times New Roman" w:hAnsi="Times New Roman" w:cs="Times New Roman"/>
          <w:b/>
          <w:bCs/>
        </w:rPr>
        <w:t>, Ijaz Nabi</w:t>
      </w:r>
      <w:r w:rsidR="00DF2D60" w:rsidRPr="005E7C0F">
        <w:rPr>
          <w:rFonts w:ascii="Times New Roman" w:hAnsi="Times New Roman" w:cs="Times New Roman"/>
          <w:b/>
          <w:bCs/>
        </w:rPr>
        <w:t>,</w:t>
      </w:r>
      <w:r w:rsidR="00771B09" w:rsidRPr="005E7C0F">
        <w:rPr>
          <w:rFonts w:ascii="Times New Roman" w:hAnsi="Times New Roman" w:cs="Times New Roman"/>
          <w:b/>
          <w:bCs/>
        </w:rPr>
        <w:t xml:space="preserve"> </w:t>
      </w:r>
      <w:r w:rsidR="00DF2D60" w:rsidRPr="005E7C0F">
        <w:rPr>
          <w:rFonts w:ascii="Times New Roman" w:hAnsi="Times New Roman" w:cs="Times New Roman"/>
          <w:b/>
          <w:bCs/>
        </w:rPr>
        <w:t>Muhammad Irfan</w:t>
      </w:r>
      <w:r w:rsidR="00AA6481" w:rsidRPr="005E7C0F">
        <w:rPr>
          <w:rFonts w:ascii="Times New Roman" w:hAnsi="Times New Roman" w:cs="Times New Roman"/>
          <w:b/>
          <w:bCs/>
        </w:rPr>
        <w:t xml:space="preserve">, </w:t>
      </w:r>
      <w:r w:rsidR="00C45739" w:rsidRPr="005E7C0F">
        <w:rPr>
          <w:rFonts w:ascii="Times New Roman" w:hAnsi="Times New Roman" w:cs="Times New Roman"/>
          <w:b/>
          <w:bCs/>
          <w:lang w:val="en-GB"/>
        </w:rPr>
        <w:t>Mujahid Iqbal</w:t>
      </w:r>
      <w:r w:rsidR="00DF7D85" w:rsidRPr="005E7C0F">
        <w:rPr>
          <w:rFonts w:ascii="Times New Roman" w:hAnsi="Times New Roman" w:cs="Times New Roman"/>
          <w:b/>
          <w:bCs/>
          <w:lang w:val="en-GB"/>
        </w:rPr>
        <w:t xml:space="preserve">, </w:t>
      </w:r>
      <w:r w:rsidR="00AA6481" w:rsidRPr="005E7C0F">
        <w:rPr>
          <w:rFonts w:ascii="Times New Roman" w:hAnsi="Times New Roman" w:cs="Times New Roman"/>
          <w:b/>
          <w:bCs/>
        </w:rPr>
        <w:t>Madiha Rauf</w:t>
      </w:r>
      <w:r w:rsidR="000040F9" w:rsidRPr="005E7C0F">
        <w:rPr>
          <w:rFonts w:ascii="Times New Roman" w:hAnsi="Times New Roman" w:cs="Times New Roman"/>
          <w:b/>
          <w:bCs/>
        </w:rPr>
        <w:t>,</w:t>
      </w:r>
      <w:r w:rsidR="00771B09" w:rsidRPr="005E7C0F">
        <w:rPr>
          <w:rFonts w:ascii="Times New Roman" w:hAnsi="Times New Roman" w:cs="Times New Roman"/>
          <w:b/>
          <w:bCs/>
        </w:rPr>
        <w:t xml:space="preserve"> </w:t>
      </w:r>
      <w:r w:rsidR="000040F9" w:rsidRPr="005E7C0F">
        <w:rPr>
          <w:rFonts w:ascii="Times New Roman" w:hAnsi="Times New Roman" w:cs="Times New Roman"/>
          <w:b/>
          <w:bCs/>
        </w:rPr>
        <w:t>Salman Mehmood</w:t>
      </w:r>
    </w:p>
    <w:p w14:paraId="60275921" w14:textId="77777777" w:rsidR="0052059A" w:rsidRPr="005E7C0F" w:rsidRDefault="0052059A" w:rsidP="006C2731">
      <w:pPr>
        <w:spacing w:after="0" w:line="240" w:lineRule="auto"/>
        <w:jc w:val="center"/>
        <w:rPr>
          <w:rFonts w:ascii="Times New Roman" w:hAnsi="Times New Roman" w:cs="Times New Roman"/>
          <w:i/>
          <w:iCs/>
        </w:rPr>
      </w:pPr>
      <w:r w:rsidRPr="005E7C0F">
        <w:rPr>
          <w:rFonts w:ascii="Times New Roman" w:hAnsi="Times New Roman" w:cs="Times New Roman"/>
          <w:i/>
          <w:iCs/>
        </w:rPr>
        <w:t>Allied Hospital Faisalabad Medical University, Faisalabad</w:t>
      </w:r>
    </w:p>
    <w:p w14:paraId="60932DDD" w14:textId="51BBECAD" w:rsidR="00C456ED" w:rsidRPr="000F69FA" w:rsidRDefault="000F69FA" w:rsidP="006C2731">
      <w:pPr>
        <w:spacing w:after="0" w:line="240" w:lineRule="auto"/>
        <w:jc w:val="both"/>
        <w:rPr>
          <w:rFonts w:ascii="Times New Roman" w:hAnsi="Times New Roman" w:cs="Times New Roman"/>
          <w:b/>
          <w:bCs/>
          <w:sz w:val="20"/>
          <w:szCs w:val="20"/>
        </w:rPr>
      </w:pPr>
      <w:r w:rsidRPr="000F69FA">
        <w:rPr>
          <w:rFonts w:ascii="Times New Roman" w:hAnsi="Times New Roman" w:cs="Times New Roman"/>
          <w:b/>
          <w:bCs/>
          <w:sz w:val="20"/>
          <w:szCs w:val="20"/>
        </w:rPr>
        <w:t xml:space="preserve">Abstract </w:t>
      </w:r>
    </w:p>
    <w:p w14:paraId="09536030" w14:textId="23A35FD2" w:rsidR="00C456ED" w:rsidRPr="000F69FA" w:rsidRDefault="00C456ED" w:rsidP="006C2731">
      <w:pPr>
        <w:spacing w:after="0" w:line="240" w:lineRule="auto"/>
        <w:jc w:val="both"/>
        <w:rPr>
          <w:rFonts w:ascii="Times New Roman" w:hAnsi="Times New Roman" w:cs="Times New Roman"/>
          <w:b/>
          <w:bCs/>
          <w:sz w:val="20"/>
          <w:szCs w:val="20"/>
        </w:rPr>
      </w:pPr>
      <w:r w:rsidRPr="000F69FA">
        <w:rPr>
          <w:rFonts w:ascii="Times New Roman" w:hAnsi="Times New Roman" w:cs="Times New Roman"/>
          <w:b/>
          <w:bCs/>
          <w:sz w:val="20"/>
          <w:szCs w:val="20"/>
        </w:rPr>
        <w:t>Objectives</w:t>
      </w:r>
      <w:r w:rsidR="005E7C0F" w:rsidRPr="000F69FA">
        <w:rPr>
          <w:rFonts w:ascii="Times New Roman" w:hAnsi="Times New Roman" w:cs="Times New Roman"/>
          <w:b/>
          <w:bCs/>
          <w:sz w:val="20"/>
          <w:szCs w:val="20"/>
        </w:rPr>
        <w:t>:</w:t>
      </w:r>
      <w:r w:rsidRPr="000F69FA">
        <w:rPr>
          <w:rFonts w:ascii="Times New Roman" w:hAnsi="Times New Roman" w:cs="Times New Roman"/>
          <w:b/>
          <w:bCs/>
          <w:sz w:val="20"/>
          <w:szCs w:val="20"/>
        </w:rPr>
        <w:t xml:space="preserve"> </w:t>
      </w:r>
      <w:r w:rsidRPr="000F69FA">
        <w:rPr>
          <w:rFonts w:ascii="Times New Roman" w:hAnsi="Times New Roman" w:cs="Times New Roman"/>
          <w:sz w:val="20"/>
          <w:szCs w:val="20"/>
        </w:rPr>
        <w:t>To compare the efficacy of empagliflozin and dapagliflozin in reducing proteinuria among patients with type 2 diabetes mellitus (T2DM)</w:t>
      </w:r>
    </w:p>
    <w:p w14:paraId="5E9DD04D" w14:textId="43D37E5C" w:rsidR="00C456ED" w:rsidRPr="000F69FA" w:rsidRDefault="005E7C0F" w:rsidP="006C2731">
      <w:pPr>
        <w:spacing w:after="0" w:line="240" w:lineRule="auto"/>
        <w:jc w:val="both"/>
        <w:rPr>
          <w:rFonts w:ascii="Times New Roman" w:hAnsi="Times New Roman" w:cs="Times New Roman"/>
          <w:b/>
          <w:bCs/>
          <w:sz w:val="20"/>
          <w:szCs w:val="20"/>
        </w:rPr>
      </w:pPr>
      <w:r w:rsidRPr="000F69FA">
        <w:rPr>
          <w:rFonts w:ascii="Times New Roman" w:hAnsi="Times New Roman" w:cs="Times New Roman"/>
          <w:b/>
          <w:bCs/>
          <w:sz w:val="20"/>
          <w:szCs w:val="20"/>
        </w:rPr>
        <w:t>Methods:</w:t>
      </w:r>
      <w:r w:rsidR="00C456ED" w:rsidRPr="000F69FA">
        <w:rPr>
          <w:rFonts w:ascii="Times New Roman" w:hAnsi="Times New Roman" w:cs="Times New Roman"/>
          <w:b/>
          <w:bCs/>
          <w:sz w:val="20"/>
          <w:szCs w:val="20"/>
        </w:rPr>
        <w:t xml:space="preserve"> </w:t>
      </w:r>
      <w:r w:rsidR="00C456ED" w:rsidRPr="000F69FA">
        <w:rPr>
          <w:rFonts w:ascii="Times New Roman" w:hAnsi="Times New Roman" w:cs="Times New Roman"/>
          <w:sz w:val="20"/>
          <w:szCs w:val="20"/>
        </w:rPr>
        <w:t>This randomized controlled trial was conducted in the Department of Nephrology, Allied Hospital-I, Faisalabad, Pakistan, from February 29, 2024, to August 28, 2024. One hundred adult patients with T2DM and proteinuria who fulfilled the eligibility criteria were enrolled and randomly allocated into two equal groups. Group A received empagliflozin 25 mg once daily, whereas Group B received dapagliflozin 10 mg once daily for 12 weeks. Twenty-four-hour urinary protein was measured at baseline and after 12 weeks of treatment. The primary outcome was a ≥30% reduction in 24-hour urinary protein from baseline.</w:t>
      </w:r>
    </w:p>
    <w:p w14:paraId="674D0305" w14:textId="4D9FD14E" w:rsidR="00C456ED" w:rsidRPr="000F69FA" w:rsidRDefault="00C456ED" w:rsidP="006C2731">
      <w:pPr>
        <w:spacing w:after="0" w:line="240" w:lineRule="auto"/>
        <w:jc w:val="both"/>
        <w:rPr>
          <w:rFonts w:ascii="Times New Roman" w:hAnsi="Times New Roman" w:cs="Times New Roman"/>
          <w:b/>
          <w:bCs/>
          <w:sz w:val="20"/>
          <w:szCs w:val="20"/>
        </w:rPr>
      </w:pPr>
      <w:r w:rsidRPr="000F69FA">
        <w:rPr>
          <w:rFonts w:ascii="Times New Roman" w:hAnsi="Times New Roman" w:cs="Times New Roman"/>
          <w:b/>
          <w:bCs/>
          <w:sz w:val="20"/>
          <w:szCs w:val="20"/>
        </w:rPr>
        <w:t>Results</w:t>
      </w:r>
      <w:r w:rsidR="005E7C0F" w:rsidRPr="000F69FA">
        <w:rPr>
          <w:rFonts w:ascii="Times New Roman" w:hAnsi="Times New Roman" w:cs="Times New Roman"/>
          <w:b/>
          <w:bCs/>
          <w:sz w:val="20"/>
          <w:szCs w:val="20"/>
        </w:rPr>
        <w:t>:</w:t>
      </w:r>
      <w:r w:rsidRPr="000F69FA">
        <w:rPr>
          <w:rFonts w:ascii="Times New Roman" w:hAnsi="Times New Roman" w:cs="Times New Roman"/>
          <w:b/>
          <w:bCs/>
          <w:sz w:val="20"/>
          <w:szCs w:val="20"/>
        </w:rPr>
        <w:t xml:space="preserve"> </w:t>
      </w:r>
      <w:r w:rsidRPr="000F69FA">
        <w:rPr>
          <w:rFonts w:ascii="Times New Roman" w:hAnsi="Times New Roman" w:cs="Times New Roman"/>
          <w:sz w:val="20"/>
          <w:szCs w:val="20"/>
        </w:rPr>
        <w:t>The mean age of participants was 47.43 ± 9.31 years. Sixty patients (60%) were aged 30–50 years, and 40 (40%) were aged 51–75 years. Overall, 21 patients (21%) were male and 79 (79%) were female. Clinical efficacy was achieved in 46 of 50 patients (92.0%) receiving empagliflozin compared with 38 of 50 patients (76.0%) receiving dapagliflozin. Empagliflozin demonstrated significantly greater efficacy in reducing proteinuria than dapagliflozin (p = 0.029).</w:t>
      </w:r>
    </w:p>
    <w:p w14:paraId="1079C9FC" w14:textId="072D8B42" w:rsidR="00C456ED" w:rsidRPr="000F69FA" w:rsidRDefault="00C456ED" w:rsidP="006C2731">
      <w:pPr>
        <w:spacing w:after="0" w:line="240" w:lineRule="auto"/>
        <w:jc w:val="both"/>
        <w:rPr>
          <w:rFonts w:ascii="Times New Roman" w:hAnsi="Times New Roman" w:cs="Times New Roman"/>
          <w:b/>
          <w:bCs/>
          <w:sz w:val="20"/>
          <w:szCs w:val="20"/>
        </w:rPr>
      </w:pPr>
      <w:r w:rsidRPr="000F69FA">
        <w:rPr>
          <w:rFonts w:ascii="Times New Roman" w:hAnsi="Times New Roman" w:cs="Times New Roman"/>
          <w:b/>
          <w:bCs/>
          <w:sz w:val="20"/>
          <w:szCs w:val="20"/>
        </w:rPr>
        <w:t>Conclusion</w:t>
      </w:r>
      <w:r w:rsidR="005E7C0F" w:rsidRPr="000F69FA">
        <w:rPr>
          <w:rFonts w:ascii="Times New Roman" w:hAnsi="Times New Roman" w:cs="Times New Roman"/>
          <w:b/>
          <w:bCs/>
          <w:sz w:val="20"/>
          <w:szCs w:val="20"/>
        </w:rPr>
        <w:t>:</w:t>
      </w:r>
      <w:r w:rsidRPr="000F69FA">
        <w:rPr>
          <w:rFonts w:ascii="Times New Roman" w:hAnsi="Times New Roman" w:cs="Times New Roman"/>
          <w:b/>
          <w:bCs/>
          <w:sz w:val="20"/>
          <w:szCs w:val="20"/>
        </w:rPr>
        <w:t xml:space="preserve"> </w:t>
      </w:r>
      <w:r w:rsidRPr="000F69FA">
        <w:rPr>
          <w:rFonts w:ascii="Times New Roman" w:hAnsi="Times New Roman" w:cs="Times New Roman"/>
          <w:sz w:val="20"/>
          <w:szCs w:val="20"/>
        </w:rPr>
        <w:t xml:space="preserve">Empagliflozin was significantly more effective than dapagliflozin in reducing proteinuria among patients with type 2 diabetes mellitus after 12 weeks of treatment. Larger </w:t>
      </w:r>
      <w:r w:rsidR="00A00096" w:rsidRPr="000F69FA">
        <w:rPr>
          <w:rFonts w:ascii="Times New Roman" w:hAnsi="Times New Roman" w:cs="Times New Roman"/>
          <w:sz w:val="20"/>
          <w:szCs w:val="20"/>
        </w:rPr>
        <w:t>multicenter</w:t>
      </w:r>
      <w:r w:rsidRPr="000F69FA">
        <w:rPr>
          <w:rFonts w:ascii="Times New Roman" w:hAnsi="Times New Roman" w:cs="Times New Roman"/>
          <w:sz w:val="20"/>
          <w:szCs w:val="20"/>
        </w:rPr>
        <w:t xml:space="preserve"> studies with longer follow-up are required to confirm these findings and determine whether the greater reduction in proteinuria translates into improved long-term renal outcomes.</w:t>
      </w:r>
    </w:p>
    <w:p w14:paraId="2B4682FE" w14:textId="497A52C1" w:rsidR="00C456ED" w:rsidRPr="000F69FA" w:rsidRDefault="00C456ED" w:rsidP="006C2731">
      <w:pPr>
        <w:spacing w:after="0" w:line="240" w:lineRule="auto"/>
        <w:jc w:val="both"/>
        <w:rPr>
          <w:rFonts w:ascii="Times New Roman" w:hAnsi="Times New Roman" w:cs="Times New Roman"/>
          <w:b/>
          <w:bCs/>
          <w:sz w:val="20"/>
          <w:szCs w:val="20"/>
        </w:rPr>
      </w:pPr>
      <w:r w:rsidRPr="000F69FA">
        <w:rPr>
          <w:rFonts w:ascii="Times New Roman" w:hAnsi="Times New Roman" w:cs="Times New Roman"/>
          <w:b/>
          <w:bCs/>
          <w:sz w:val="20"/>
          <w:szCs w:val="20"/>
        </w:rPr>
        <w:t xml:space="preserve"> Keywords</w:t>
      </w:r>
      <w:r w:rsidR="005E7C0F" w:rsidRPr="000F69FA">
        <w:rPr>
          <w:rFonts w:ascii="Times New Roman" w:hAnsi="Times New Roman" w:cs="Times New Roman"/>
          <w:b/>
          <w:bCs/>
          <w:sz w:val="20"/>
          <w:szCs w:val="20"/>
        </w:rPr>
        <w:t>:</w:t>
      </w:r>
      <w:r w:rsidRPr="000F69FA">
        <w:rPr>
          <w:rFonts w:ascii="Times New Roman" w:hAnsi="Times New Roman" w:cs="Times New Roman"/>
          <w:b/>
          <w:bCs/>
          <w:sz w:val="20"/>
          <w:szCs w:val="20"/>
        </w:rPr>
        <w:t xml:space="preserve"> </w:t>
      </w:r>
      <w:r w:rsidR="005E7C0F" w:rsidRPr="000F69FA">
        <w:rPr>
          <w:rFonts w:ascii="Times New Roman" w:hAnsi="Times New Roman" w:cs="Times New Roman"/>
          <w:sz w:val="20"/>
          <w:szCs w:val="20"/>
        </w:rPr>
        <w:t>Type 2 diabetes mellitus, Proteinuria, Empagliflozin, Dapagliflozin,</w:t>
      </w:r>
      <w:r w:rsidRPr="000F69FA">
        <w:rPr>
          <w:rFonts w:ascii="Times New Roman" w:hAnsi="Times New Roman" w:cs="Times New Roman"/>
          <w:sz w:val="20"/>
          <w:szCs w:val="20"/>
        </w:rPr>
        <w:t xml:space="preserve"> </w:t>
      </w:r>
      <w:r w:rsidR="005E7C0F" w:rsidRPr="000F69FA">
        <w:rPr>
          <w:rFonts w:ascii="Times New Roman" w:hAnsi="Times New Roman" w:cs="Times New Roman"/>
          <w:sz w:val="20"/>
          <w:szCs w:val="20"/>
        </w:rPr>
        <w:t>D</w:t>
      </w:r>
      <w:r w:rsidRPr="000F69FA">
        <w:rPr>
          <w:rFonts w:ascii="Times New Roman" w:hAnsi="Times New Roman" w:cs="Times New Roman"/>
          <w:sz w:val="20"/>
          <w:szCs w:val="20"/>
        </w:rPr>
        <w:t>iabetic kidney disease.</w:t>
      </w:r>
    </w:p>
    <w:p w14:paraId="5ED79197" w14:textId="77777777" w:rsidR="000F69FA" w:rsidRPr="000F69FA" w:rsidRDefault="000F69FA" w:rsidP="000F69FA">
      <w:pPr>
        <w:spacing w:after="0"/>
        <w:jc w:val="both"/>
        <w:rPr>
          <w:rFonts w:ascii="Times New Roman" w:hAnsi="Times New Roman" w:cs="Times New Roman"/>
          <w:b/>
          <w:bCs/>
          <w:sz w:val="20"/>
          <w:szCs w:val="20"/>
        </w:rPr>
      </w:pPr>
      <w:r w:rsidRPr="000F69FA">
        <w:rPr>
          <w:rFonts w:ascii="Times New Roman" w:hAnsi="Times New Roman" w:cs="Times New Roman"/>
          <w:b/>
          <w:bCs/>
          <w:sz w:val="20"/>
          <w:szCs w:val="20"/>
        </w:rPr>
        <w:t xml:space="preserve">How to cite this: </w:t>
      </w:r>
    </w:p>
    <w:p w14:paraId="0EF92AFF" w14:textId="77777777" w:rsidR="000F69FA" w:rsidRPr="000F69FA" w:rsidRDefault="000F69FA" w:rsidP="000F69FA">
      <w:pPr>
        <w:spacing w:after="0"/>
        <w:jc w:val="both"/>
        <w:rPr>
          <w:rFonts w:ascii="Times New Roman" w:hAnsi="Times New Roman" w:cs="Times New Roman"/>
          <w:sz w:val="20"/>
          <w:szCs w:val="20"/>
        </w:rPr>
      </w:pPr>
      <w:r w:rsidRPr="000F69FA">
        <w:rPr>
          <w:rFonts w:ascii="Times New Roman" w:hAnsi="Times New Roman" w:cs="Times New Roman"/>
          <w:sz w:val="20"/>
          <w:szCs w:val="20"/>
        </w:rPr>
        <w:t>Javaid B, Nabi I, Irfan M, Iqbal M, Rauf M, Mehmood S. Comparison of the Efficacy of Empagliflozin and Dapagliflozin in Reducing Proteinuria in Patients with Type 2 Diabetes Mellitus: A Randomized Controlled Trial. J Pak Soc Intern Med. 2026;7(3):</w:t>
      </w:r>
    </w:p>
    <w:p w14:paraId="07F323A6" w14:textId="77777777" w:rsidR="000F69FA" w:rsidRPr="000F69FA" w:rsidRDefault="000F69FA" w:rsidP="000F69FA">
      <w:pPr>
        <w:spacing w:after="0"/>
        <w:jc w:val="both"/>
        <w:rPr>
          <w:rFonts w:ascii="Times New Roman" w:hAnsi="Times New Roman" w:cs="Times New Roman"/>
          <w:sz w:val="20"/>
          <w:szCs w:val="20"/>
          <w:u w:val="single"/>
        </w:rPr>
      </w:pPr>
      <w:r w:rsidRPr="000F69FA">
        <w:rPr>
          <w:rFonts w:ascii="Times New Roman" w:hAnsi="Times New Roman" w:cs="Times New Roman"/>
          <w:b/>
          <w:bCs/>
          <w:sz w:val="20"/>
          <w:szCs w:val="20"/>
        </w:rPr>
        <w:t>Corresponding Author:</w:t>
      </w:r>
      <w:r w:rsidRPr="000F69FA">
        <w:rPr>
          <w:rFonts w:ascii="Times New Roman" w:hAnsi="Times New Roman" w:cs="Times New Roman"/>
          <w:sz w:val="20"/>
          <w:szCs w:val="20"/>
        </w:rPr>
        <w:t xml:space="preserve"> Dr. Bilal Javaid</w:t>
      </w:r>
      <w:r w:rsidRPr="000F69FA">
        <w:rPr>
          <w:rFonts w:ascii="Times New Roman" w:hAnsi="Times New Roman" w:cs="Times New Roman"/>
          <w:sz w:val="20"/>
          <w:szCs w:val="20"/>
        </w:rPr>
        <w:tab/>
      </w:r>
      <w:r w:rsidRPr="000F69FA">
        <w:rPr>
          <w:rFonts w:ascii="Times New Roman" w:hAnsi="Times New Roman" w:cs="Times New Roman"/>
          <w:sz w:val="20"/>
          <w:szCs w:val="20"/>
        </w:rPr>
        <w:tab/>
      </w:r>
      <w:r w:rsidRPr="000F69FA">
        <w:rPr>
          <w:rFonts w:ascii="Times New Roman" w:hAnsi="Times New Roman" w:cs="Times New Roman"/>
          <w:sz w:val="20"/>
          <w:szCs w:val="20"/>
        </w:rPr>
        <w:tab/>
      </w:r>
      <w:r w:rsidRPr="000F69FA">
        <w:rPr>
          <w:rFonts w:ascii="Times New Roman" w:hAnsi="Times New Roman" w:cs="Times New Roman"/>
          <w:b/>
          <w:bCs/>
          <w:sz w:val="20"/>
          <w:szCs w:val="20"/>
        </w:rPr>
        <w:t>Email:</w:t>
      </w:r>
      <w:r w:rsidRPr="000F69FA">
        <w:rPr>
          <w:rFonts w:ascii="Times New Roman" w:hAnsi="Times New Roman" w:cs="Times New Roman"/>
          <w:sz w:val="20"/>
          <w:szCs w:val="20"/>
        </w:rPr>
        <w:t xml:space="preserve"> </w:t>
      </w:r>
      <w:hyperlink r:id="rId5" w:tgtFrame="_blank" w:history="1">
        <w:r w:rsidRPr="000F69FA">
          <w:rPr>
            <w:rStyle w:val="Hyperlink"/>
            <w:rFonts w:ascii="Times New Roman" w:hAnsi="Times New Roman" w:cs="Times New Roman"/>
            <w:sz w:val="20"/>
            <w:szCs w:val="20"/>
            <w:lang w:val="en"/>
          </w:rPr>
          <w:t>dr.bilaljavaid160@gmail.com</w:t>
        </w:r>
      </w:hyperlink>
    </w:p>
    <w:p w14:paraId="15AB54D3" w14:textId="71B052AD" w:rsidR="000F69FA" w:rsidRPr="000F69FA" w:rsidRDefault="000F69FA" w:rsidP="000F69FA">
      <w:pPr>
        <w:spacing w:after="0"/>
        <w:jc w:val="both"/>
        <w:rPr>
          <w:rFonts w:ascii="Times New Roman" w:hAnsi="Times New Roman" w:cs="Times New Roman"/>
          <w:b/>
          <w:bCs/>
          <w:sz w:val="20"/>
          <w:szCs w:val="20"/>
        </w:rPr>
      </w:pPr>
      <w:r w:rsidRPr="000F69FA">
        <w:rPr>
          <w:rFonts w:ascii="Times New Roman" w:hAnsi="Times New Roman" w:cs="Times New Roman"/>
          <w:b/>
          <w:bCs/>
          <w:sz w:val="20"/>
          <w:szCs w:val="20"/>
        </w:rPr>
        <w:t xml:space="preserve">Received: </w:t>
      </w:r>
      <w:r w:rsidR="007C1E56">
        <w:rPr>
          <w:rFonts w:ascii="Times New Roman" w:hAnsi="Times New Roman" w:cs="Times New Roman"/>
          <w:b/>
          <w:bCs/>
          <w:sz w:val="20"/>
          <w:szCs w:val="20"/>
        </w:rPr>
        <w:t>12-01-2026</w:t>
      </w:r>
      <w:r w:rsidRPr="000F69FA">
        <w:rPr>
          <w:rFonts w:ascii="Times New Roman" w:hAnsi="Times New Roman" w:cs="Times New Roman"/>
          <w:b/>
          <w:bCs/>
          <w:sz w:val="20"/>
          <w:szCs w:val="20"/>
        </w:rPr>
        <w:tab/>
      </w:r>
      <w:r w:rsidRPr="000F69FA">
        <w:rPr>
          <w:rFonts w:ascii="Times New Roman" w:hAnsi="Times New Roman" w:cs="Times New Roman"/>
          <w:b/>
          <w:bCs/>
          <w:sz w:val="20"/>
          <w:szCs w:val="20"/>
        </w:rPr>
        <w:tab/>
        <w:t>Revised:</w:t>
      </w:r>
      <w:r w:rsidR="007C1E56">
        <w:rPr>
          <w:rFonts w:ascii="Times New Roman" w:hAnsi="Times New Roman" w:cs="Times New Roman"/>
          <w:b/>
          <w:bCs/>
          <w:sz w:val="20"/>
          <w:szCs w:val="20"/>
        </w:rPr>
        <w:t xml:space="preserve"> </w:t>
      </w:r>
      <w:r w:rsidR="00736BD9">
        <w:rPr>
          <w:rFonts w:ascii="Times New Roman" w:hAnsi="Times New Roman" w:cs="Times New Roman"/>
          <w:b/>
          <w:bCs/>
          <w:sz w:val="20"/>
          <w:szCs w:val="20"/>
        </w:rPr>
        <w:t>13-05-2026</w:t>
      </w:r>
      <w:r w:rsidRPr="000F69FA">
        <w:rPr>
          <w:rFonts w:ascii="Times New Roman" w:hAnsi="Times New Roman" w:cs="Times New Roman"/>
          <w:b/>
          <w:bCs/>
          <w:sz w:val="20"/>
          <w:szCs w:val="20"/>
        </w:rPr>
        <w:tab/>
        <w:t xml:space="preserve">Accepted: </w:t>
      </w:r>
      <w:r w:rsidR="00F25542">
        <w:rPr>
          <w:rFonts w:ascii="Times New Roman" w:hAnsi="Times New Roman" w:cs="Times New Roman"/>
          <w:b/>
          <w:bCs/>
          <w:sz w:val="20"/>
          <w:szCs w:val="20"/>
        </w:rPr>
        <w:t>12-08-2026</w:t>
      </w:r>
    </w:p>
    <w:p w14:paraId="68E1DAFF" w14:textId="742D4A8F" w:rsidR="000F69FA" w:rsidRPr="000F69FA" w:rsidRDefault="000F69FA" w:rsidP="000F69FA">
      <w:pPr>
        <w:widowControl w:val="0"/>
        <w:tabs>
          <w:tab w:val="left" w:pos="720"/>
          <w:tab w:val="left" w:pos="1440"/>
        </w:tabs>
        <w:spacing w:after="0"/>
        <w:jc w:val="both"/>
        <w:rPr>
          <w:rFonts w:ascii="Times New Roman" w:eastAsia="Times New Roman" w:hAnsi="Times New Roman" w:cs="Times New Roman"/>
          <w:b/>
          <w:iCs/>
          <w:spacing w:val="8"/>
        </w:rPr>
      </w:pPr>
      <w:r w:rsidRPr="000F69FA">
        <w:rPr>
          <w:rFonts w:ascii="Times New Roman" w:hAnsi="Times New Roman" w:cs="Times New Roman"/>
          <w:b/>
          <w:bCs/>
          <w:sz w:val="20"/>
          <w:szCs w:val="20"/>
        </w:rPr>
        <w:t>DOI:</w:t>
      </w:r>
      <w:r w:rsidRPr="000F69FA">
        <w:rPr>
          <w:rFonts w:ascii="Times New Roman" w:hAnsi="Times New Roman" w:cs="Times New Roman"/>
          <w:sz w:val="20"/>
          <w:szCs w:val="20"/>
        </w:rPr>
        <w:t xml:space="preserve"> </w:t>
      </w:r>
      <w:hyperlink r:id="rId6" w:history="1">
        <w:r w:rsidRPr="000F69FA">
          <w:rPr>
            <w:rStyle w:val="Hyperlink"/>
            <w:rFonts w:ascii="Times New Roman" w:hAnsi="Times New Roman" w:cs="Times New Roman"/>
            <w:sz w:val="20"/>
            <w:szCs w:val="20"/>
            <w:lang w:val="en"/>
          </w:rPr>
          <w:t>https://doi.org/10.70302/jpsim.v7i3.26</w:t>
        </w:r>
        <w:r w:rsidR="00084C59">
          <w:rPr>
            <w:rStyle w:val="Hyperlink"/>
            <w:rFonts w:ascii="Times New Roman" w:hAnsi="Times New Roman" w:cs="Times New Roman"/>
            <w:sz w:val="20"/>
            <w:szCs w:val="20"/>
            <w:lang w:val="en"/>
          </w:rPr>
          <w:t>42</w:t>
        </w:r>
      </w:hyperlink>
    </w:p>
    <w:p w14:paraId="25739994" w14:textId="77777777" w:rsidR="000F69FA" w:rsidRDefault="000F69FA" w:rsidP="006C2731">
      <w:pPr>
        <w:spacing w:after="0" w:line="240" w:lineRule="auto"/>
        <w:jc w:val="both"/>
        <w:rPr>
          <w:rFonts w:ascii="Times New Roman" w:hAnsi="Times New Roman" w:cs="Times New Roman"/>
          <w:b/>
          <w:bCs/>
        </w:rPr>
      </w:pPr>
    </w:p>
    <w:p w14:paraId="4B1C17D3" w14:textId="0CE2CA7C" w:rsidR="00C456ED" w:rsidRPr="005E7C0F" w:rsidRDefault="005E7C0F" w:rsidP="006C2731">
      <w:pPr>
        <w:spacing w:after="0" w:line="240" w:lineRule="auto"/>
        <w:jc w:val="both"/>
        <w:rPr>
          <w:rFonts w:ascii="Times New Roman" w:hAnsi="Times New Roman" w:cs="Times New Roman"/>
          <w:b/>
          <w:bCs/>
        </w:rPr>
      </w:pPr>
      <w:r w:rsidRPr="005E7C0F">
        <w:rPr>
          <w:rFonts w:ascii="Times New Roman" w:hAnsi="Times New Roman" w:cs="Times New Roman"/>
          <w:b/>
          <w:bCs/>
        </w:rPr>
        <w:t>Introduction</w:t>
      </w:r>
      <w:r w:rsidR="00C456ED" w:rsidRPr="005E7C0F">
        <w:rPr>
          <w:rFonts w:ascii="Times New Roman" w:hAnsi="Times New Roman" w:cs="Times New Roman"/>
          <w:b/>
          <w:bCs/>
        </w:rPr>
        <w:t xml:space="preserve"> </w:t>
      </w:r>
    </w:p>
    <w:p w14:paraId="0FCAD36B" w14:textId="5EFE95BA"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Type 2 diabetes mellitus (T2DM) is the leading cause of chronic kidney disease (CKD) worldwide and remains a major contributor to end-stage kidney disease (ESKD). Persistent proteinuria is one of the earliest clinical manifestations of diabetic kidney disease (DKD) and is independently associated with accelerated decline in renal function, increased cardiovascular morbidity, and premature mortality. Therefore, reduction of proteinuria has become a key therapeutic target in the management of patients</w:t>
      </w:r>
      <w:r w:rsidR="005E7C0F">
        <w:rPr>
          <w:rFonts w:ascii="Times New Roman" w:hAnsi="Times New Roman" w:cs="Times New Roman"/>
        </w:rPr>
        <w:t xml:space="preserve"> with diabetic kidney </w:t>
      </w:r>
      <w:proofErr w:type="gramStart"/>
      <w:r w:rsidR="005E7C0F">
        <w:rPr>
          <w:rFonts w:ascii="Times New Roman" w:hAnsi="Times New Roman" w:cs="Times New Roman"/>
        </w:rPr>
        <w:t>disease.¹</w:t>
      </w:r>
      <w:proofErr w:type="gramEnd"/>
      <w:r w:rsidR="005E7C0F" w:rsidRPr="005E7C0F">
        <w:rPr>
          <w:rFonts w:ascii="Times New Roman" w:hAnsi="Times New Roman" w:cs="Times New Roman"/>
          <w:vertAlign w:val="superscript"/>
        </w:rPr>
        <w:t>-</w:t>
      </w:r>
      <w:r w:rsidRPr="005E7C0F">
        <w:rPr>
          <w:rFonts w:ascii="Times New Roman" w:hAnsi="Times New Roman" w:cs="Times New Roman"/>
        </w:rPr>
        <w:t>⁴</w:t>
      </w:r>
    </w:p>
    <w:p w14:paraId="731D7A92" w14:textId="3C441D28"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Sodium–glucose cotransporter-2 (SGLT2) inhibitors have emerged as an important class of glucose-lowering agents with substantial cardiovascular and renal benefits that extend beyond </w:t>
      </w:r>
      <w:proofErr w:type="spellStart"/>
      <w:r w:rsidRPr="005E7C0F">
        <w:rPr>
          <w:rFonts w:ascii="Times New Roman" w:hAnsi="Times New Roman" w:cs="Times New Roman"/>
        </w:rPr>
        <w:t>glycaemic</w:t>
      </w:r>
      <w:proofErr w:type="spellEnd"/>
      <w:r w:rsidRPr="005E7C0F">
        <w:rPr>
          <w:rFonts w:ascii="Times New Roman" w:hAnsi="Times New Roman" w:cs="Times New Roman"/>
        </w:rPr>
        <w:t xml:space="preserve"> control. By inhibiting glucose and sodium reabsorption in the proximal renal tubules, these agents restore </w:t>
      </w:r>
      <w:proofErr w:type="spellStart"/>
      <w:r w:rsidRPr="005E7C0F">
        <w:rPr>
          <w:rFonts w:ascii="Times New Roman" w:hAnsi="Times New Roman" w:cs="Times New Roman"/>
        </w:rPr>
        <w:t>tubuloglomerular</w:t>
      </w:r>
      <w:proofErr w:type="spellEnd"/>
      <w:r w:rsidRPr="005E7C0F">
        <w:rPr>
          <w:rFonts w:ascii="Times New Roman" w:hAnsi="Times New Roman" w:cs="Times New Roman"/>
        </w:rPr>
        <w:t xml:space="preserve"> feedback, reduce intraglomerular hypertension, decrease albuminuria, and slow the progress</w:t>
      </w:r>
      <w:r w:rsidR="005E7C0F">
        <w:rPr>
          <w:rFonts w:ascii="Times New Roman" w:hAnsi="Times New Roman" w:cs="Times New Roman"/>
        </w:rPr>
        <w:t xml:space="preserve">ion of chronic kidney </w:t>
      </w:r>
      <w:proofErr w:type="gramStart"/>
      <w:r w:rsidR="005E7C0F">
        <w:rPr>
          <w:rFonts w:ascii="Times New Roman" w:hAnsi="Times New Roman" w:cs="Times New Roman"/>
        </w:rPr>
        <w:t>disease.⁴</w:t>
      </w:r>
      <w:proofErr w:type="gramEnd"/>
      <w:r w:rsidR="005E7C0F" w:rsidRPr="005E7C0F">
        <w:rPr>
          <w:rFonts w:ascii="Times New Roman" w:hAnsi="Times New Roman" w:cs="Times New Roman"/>
          <w:vertAlign w:val="superscript"/>
        </w:rPr>
        <w:t>-</w:t>
      </w:r>
      <w:r w:rsidRPr="005E7C0F">
        <w:rPr>
          <w:rFonts w:ascii="Times New Roman" w:hAnsi="Times New Roman" w:cs="Times New Roman"/>
        </w:rPr>
        <w:t>⁶</w:t>
      </w:r>
    </w:p>
    <w:p w14:paraId="4CF436EA" w14:textId="4918E058"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Large randomized controlled trials have consistently demonstrated the </w:t>
      </w:r>
      <w:proofErr w:type="spellStart"/>
      <w:r w:rsidRPr="005E7C0F">
        <w:rPr>
          <w:rFonts w:ascii="Times New Roman" w:hAnsi="Times New Roman" w:cs="Times New Roman"/>
        </w:rPr>
        <w:t>renoprotective</w:t>
      </w:r>
      <w:proofErr w:type="spellEnd"/>
      <w:r w:rsidRPr="005E7C0F">
        <w:rPr>
          <w:rFonts w:ascii="Times New Roman" w:hAnsi="Times New Roman" w:cs="Times New Roman"/>
        </w:rPr>
        <w:t xml:space="preserve"> effects of SGLT2 inhibitors. The EMPA-REG OUTCOME trial first showed that empagliflozin significantly reduced progression of kidney disease and albuminuria in patients with T2DM and established cardiovascular disease.⁵ Subsequently, the DAPA-CKD trial demonstrated that dapagliflozin significantly reduced the risk of sustained decline in estimated glomerular filtration rate (eGFR), end-stage kidney disease, and renal or cardiovascular death in patients with chronic kidney disease, irrespective of diabetes status.</w:t>
      </w:r>
      <w:r w:rsidRPr="005E7C0F">
        <w:rPr>
          <w:rFonts w:ascii="Times New Roman" w:hAnsi="Times New Roman" w:cs="Times New Roman"/>
          <w:strike/>
        </w:rPr>
        <w:t>¹⁶</w:t>
      </w:r>
      <w:r w:rsidR="005E7C0F" w:rsidRPr="005E7C0F">
        <w:rPr>
          <w:rFonts w:ascii="Times New Roman" w:hAnsi="Times New Roman" w:cs="Times New Roman"/>
          <w:vertAlign w:val="superscript"/>
        </w:rPr>
        <w:t>7</w:t>
      </w:r>
      <w:r w:rsidRPr="005E7C0F">
        <w:rPr>
          <w:rFonts w:ascii="Times New Roman" w:hAnsi="Times New Roman" w:cs="Times New Roman"/>
        </w:rPr>
        <w:t xml:space="preserve"> More recently, the EMPA-KIDNEY trial further confirmed that empagliflozin reduced the risk of kidney </w:t>
      </w:r>
      <w:r w:rsidRPr="005E7C0F">
        <w:rPr>
          <w:rFonts w:ascii="Times New Roman" w:hAnsi="Times New Roman" w:cs="Times New Roman"/>
        </w:rPr>
        <w:lastRenderedPageBreak/>
        <w:t>disease progression or cardiovascular death across a broad spectrum of patients with chronic kidney disease.</w:t>
      </w:r>
      <w:r w:rsidR="005E7C0F" w:rsidRPr="005E7C0F">
        <w:rPr>
          <w:rFonts w:ascii="Times New Roman" w:hAnsi="Times New Roman" w:cs="Times New Roman"/>
          <w:strike/>
          <w:vertAlign w:val="superscript"/>
        </w:rPr>
        <w:t>8</w:t>
      </w:r>
    </w:p>
    <w:p w14:paraId="4FEB7CDC" w14:textId="3160AD13"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Among currently available SGLT2 inhibitors, empagliflozin and dapagliflozin are the most widely prescribed agents. Although both drugs have demonstrated significant </w:t>
      </w:r>
      <w:proofErr w:type="spellStart"/>
      <w:r w:rsidRPr="005E7C0F">
        <w:rPr>
          <w:rFonts w:ascii="Times New Roman" w:hAnsi="Times New Roman" w:cs="Times New Roman"/>
        </w:rPr>
        <w:t>renoprotective</w:t>
      </w:r>
      <w:proofErr w:type="spellEnd"/>
      <w:r w:rsidRPr="005E7C0F">
        <w:rPr>
          <w:rFonts w:ascii="Times New Roman" w:hAnsi="Times New Roman" w:cs="Times New Roman"/>
        </w:rPr>
        <w:t xml:space="preserve"> effects in placebo-controlled trials, direct comparative evidence evaluating their relative efficacy in reducing proteinuria remains limited. Most published studies have compared individual SGLT2 inhibitors with placebo rather than directly comparing one agent with another.</w:t>
      </w:r>
      <w:r w:rsidR="005E7C0F" w:rsidRPr="005E7C0F">
        <w:rPr>
          <w:rFonts w:ascii="Times New Roman" w:hAnsi="Times New Roman" w:cs="Times New Roman"/>
          <w:vertAlign w:val="superscript"/>
        </w:rPr>
        <w:t>9,10</w:t>
      </w:r>
    </w:p>
    <w:p w14:paraId="1821D333" w14:textId="64DC6FF1"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Furthermore, evidence from South Asian populations, particularly Pakistan, remains scarce. Differences in genetic background, environmental factors, healthcare access, and disease characteristics may influence treatment response; therefore, locally generated evidence is essential to guide clinical practice. To date, only limited regional data have evaluated the antiproteinuric effects of SGLT2 inhibitors in Pakistani patients with T2DM.</w:t>
      </w:r>
      <w:r w:rsidR="005E7C0F" w:rsidRPr="005E7C0F">
        <w:rPr>
          <w:rFonts w:ascii="Times New Roman" w:hAnsi="Times New Roman" w:cs="Times New Roman"/>
          <w:vertAlign w:val="superscript"/>
        </w:rPr>
        <w:t>11</w:t>
      </w:r>
    </w:p>
    <w:p w14:paraId="64B005BF"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The present randomized controlled trial was therefore conducted to compare the efficacy of empagliflozin and dapagliflozin in reducing proteinuria among patients with T2DM attending a tertiary care hospital in Pakistan. The findings are expected to </w:t>
      </w:r>
      <w:proofErr w:type="gramStart"/>
      <w:r w:rsidRPr="005E7C0F">
        <w:rPr>
          <w:rFonts w:ascii="Times New Roman" w:hAnsi="Times New Roman" w:cs="Times New Roman"/>
        </w:rPr>
        <w:t>provide locally</w:t>
      </w:r>
      <w:proofErr w:type="gramEnd"/>
      <w:r w:rsidRPr="005E7C0F">
        <w:rPr>
          <w:rFonts w:ascii="Times New Roman" w:hAnsi="Times New Roman" w:cs="Times New Roman"/>
        </w:rPr>
        <w:t xml:space="preserve"> relevant evidence that may assist clinicians in selecting the most effective SGLT2 inhibitor for reducing proteinuria in patients with diabetic kidney disease.</w:t>
      </w:r>
    </w:p>
    <w:p w14:paraId="4FD94F65" w14:textId="1D98B5C4" w:rsidR="00C456ED" w:rsidRPr="005E7C0F" w:rsidRDefault="005E7C0F" w:rsidP="006C2731">
      <w:pPr>
        <w:spacing w:after="0" w:line="240" w:lineRule="auto"/>
        <w:jc w:val="both"/>
        <w:rPr>
          <w:rFonts w:ascii="Times New Roman" w:hAnsi="Times New Roman" w:cs="Times New Roman"/>
          <w:b/>
          <w:bCs/>
        </w:rPr>
      </w:pPr>
      <w:r>
        <w:rPr>
          <w:rFonts w:ascii="Times New Roman" w:hAnsi="Times New Roman" w:cs="Times New Roman"/>
          <w:b/>
          <w:bCs/>
        </w:rPr>
        <w:t>Methods</w:t>
      </w:r>
      <w:r w:rsidR="00C456ED" w:rsidRPr="005E7C0F">
        <w:rPr>
          <w:rFonts w:ascii="Times New Roman" w:hAnsi="Times New Roman" w:cs="Times New Roman"/>
          <w:b/>
          <w:bCs/>
        </w:rPr>
        <w:t xml:space="preserve"> </w:t>
      </w:r>
    </w:p>
    <w:p w14:paraId="5EC7BBD1"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This randomized controlled trial was conducted in the Department of Nephrology, Allied Hospital-I, Faisalabad, Pakistan, from 29 February 2024 to 28 August 2024. The study protocol was approved by the Institutional Ethical Review Committee of Faisalabad Medical University before participant recruitment. Written informed consent was obtained from all participants before enrolment.</w:t>
      </w:r>
    </w:p>
    <w:p w14:paraId="2F7D30DF" w14:textId="77BF59AC"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A total of 100 patients with type 2 diabetes mellitus (T2DM) and proteinuria were enrolled using a consecutive sampling technique and were randomly allocated in a 1:1 ratio into two treatment groups using the lottery method. The sample size was calculated using the WHO Sample Size Calculator, assuming a 95% confidence level, 80% study power, an expected efficacy of 79.55% in the empagliflozin group and 97.4% in the dapagliflozin group based on previous studies, resulting in a required sample size </w:t>
      </w:r>
      <w:proofErr w:type="gramStart"/>
      <w:r w:rsidRPr="005E7C0F">
        <w:rPr>
          <w:rFonts w:ascii="Times New Roman" w:hAnsi="Times New Roman" w:cs="Times New Roman"/>
        </w:rPr>
        <w:t>of *100 participants (50 patients per group)</w:t>
      </w:r>
      <w:proofErr w:type="gramEnd"/>
      <w:r w:rsidRPr="005E7C0F">
        <w:rPr>
          <w:rFonts w:ascii="Times New Roman" w:hAnsi="Times New Roman" w:cs="Times New Roman"/>
        </w:rPr>
        <w:t>.</w:t>
      </w:r>
      <w:r w:rsidR="005E7C0F" w:rsidRPr="005E7C0F">
        <w:rPr>
          <w:rFonts w:ascii="Times New Roman" w:hAnsi="Times New Roman" w:cs="Times New Roman"/>
          <w:vertAlign w:val="superscript"/>
        </w:rPr>
        <w:t xml:space="preserve"> 9,10</w:t>
      </w:r>
    </w:p>
    <w:p w14:paraId="70C89CB9"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Eligible participants were 30–75 years of age, of either sex, had a confirmed diagnosis of T2DM, and had documented proteinuria. Patients with type 1 diabetes mellitus, pregnancy, active malignancy, severe hepatic disease, advanced renal impairment requiring renal replacement therapy, or known hypersensitivity to either study medication were excluded. In addition, patients receiving angiotensin-converting enzyme inhibitors (ACEIs), angiotensin receptor blockers (ARBs), glucagon-like peptide-1 receptor agonists (GLP-1 RAs), or other medications known to significantly influence urinary protein excretion were excluded to minimize potential confounding.</w:t>
      </w:r>
    </w:p>
    <w:p w14:paraId="5B314A82"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Participants assigned to Group A received empagliflozin 25 mg orally once daily, whereas those assigned to Group B received dapagliflozin 10 mg orally once daily for 12 weeks. Medication adherence was assessed through weekly follow-up visits, during which used and unused tablet strips were counted. Participants were encouraged to maintain their usual dietary habits and standard diabetes care throughout the study period.</w:t>
      </w:r>
    </w:p>
    <w:p w14:paraId="0D044D3F"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The primary outcome measure was the change in 24-hour urinary protein excretion after 12 weeks of treatment. Twenty-four-hour urinary protein was measured at baseline and at the completion of the treatment period using the hospital laboratory's standardized analytical methods. Treatment efficacy was </w:t>
      </w:r>
      <w:proofErr w:type="gramStart"/>
      <w:r w:rsidRPr="005E7C0F">
        <w:rPr>
          <w:rFonts w:ascii="Times New Roman" w:hAnsi="Times New Roman" w:cs="Times New Roman"/>
        </w:rPr>
        <w:t>defined</w:t>
      </w:r>
      <w:proofErr w:type="gramEnd"/>
      <w:r w:rsidRPr="005E7C0F">
        <w:rPr>
          <w:rFonts w:ascii="Times New Roman" w:hAnsi="Times New Roman" w:cs="Times New Roman"/>
        </w:rPr>
        <w:t xml:space="preserve"> a priori as a ≥30% reduction in 24-hour urinary protein excretion from baseline after 12 weeks of therapy.</w:t>
      </w:r>
    </w:p>
    <w:p w14:paraId="79143290" w14:textId="77777777" w:rsidR="008D2D1C" w:rsidRDefault="00C456ED" w:rsidP="00B5597C">
      <w:pPr>
        <w:spacing w:after="0" w:line="240" w:lineRule="auto"/>
        <w:jc w:val="both"/>
        <w:rPr>
          <w:rFonts w:ascii="Times New Roman" w:hAnsi="Times New Roman" w:cs="Times New Roman"/>
        </w:rPr>
      </w:pPr>
      <w:r w:rsidRPr="005E7C0F">
        <w:rPr>
          <w:rFonts w:ascii="Times New Roman" w:hAnsi="Times New Roman" w:cs="Times New Roman"/>
        </w:rPr>
        <w:t xml:space="preserve">Demographic and clinical data, including age, sex, duration of diabetes mellitus, body mass index (BMI), and urinary protein measurements, were recorded using a standardized data collection form. Data </w:t>
      </w:r>
      <w:proofErr w:type="gramStart"/>
      <w:r w:rsidRPr="005E7C0F">
        <w:rPr>
          <w:rFonts w:ascii="Times New Roman" w:hAnsi="Times New Roman" w:cs="Times New Roman"/>
        </w:rPr>
        <w:t>were</w:t>
      </w:r>
      <w:proofErr w:type="gramEnd"/>
      <w:r w:rsidRPr="005E7C0F">
        <w:rPr>
          <w:rFonts w:ascii="Times New Roman" w:hAnsi="Times New Roman" w:cs="Times New Roman"/>
        </w:rPr>
        <w:t xml:space="preserve"> entered and analyzed using IBM SPSS Statistics for Windows, Version 25.0 (IBM Corp., Armonk, NY, USA). Continuous variables are presented as mean ± standard deviation (SD), whereas categorical variables are expressed as frequency and percentage. Baseline characteristics were compared </w:t>
      </w:r>
      <w:r w:rsidRPr="005E7C0F">
        <w:rPr>
          <w:rFonts w:ascii="Times New Roman" w:hAnsi="Times New Roman" w:cs="Times New Roman"/>
        </w:rPr>
        <w:lastRenderedPageBreak/>
        <w:t>descriptively between the two groups. The Chi-square test was used to compare treatment efficacy between groups. A two-sided p-value &lt;0.05 was considered statistically significant.</w:t>
      </w:r>
    </w:p>
    <w:p w14:paraId="1A32ECA4" w14:textId="4890654A" w:rsidR="00981D4A" w:rsidRDefault="00981D4A" w:rsidP="00981D4A">
      <w:pPr>
        <w:spacing w:after="0" w:line="240" w:lineRule="auto"/>
        <w:jc w:val="both"/>
        <w:rPr>
          <w:rFonts w:ascii="Times New Roman" w:hAnsi="Times New Roman" w:cs="Times New Roman"/>
        </w:rPr>
      </w:pPr>
      <w:r w:rsidRPr="005E7C0F">
        <w:rPr>
          <w:rFonts w:ascii="Times New Roman" w:eastAsia="Times New Roman" w:hAnsi="Times New Roman" w:cs="Times New Roman"/>
          <w:noProof/>
        </w:rPr>
        <w:drawing>
          <wp:anchor distT="0" distB="0" distL="114300" distR="114300" simplePos="0" relativeHeight="251662336" behindDoc="0" locked="0" layoutInCell="1" allowOverlap="1" wp14:anchorId="668AAA09" wp14:editId="70AA1985">
            <wp:simplePos x="0" y="0"/>
            <wp:positionH relativeFrom="column">
              <wp:posOffset>0</wp:posOffset>
            </wp:positionH>
            <wp:positionV relativeFrom="paragraph">
              <wp:posOffset>161290</wp:posOffset>
            </wp:positionV>
            <wp:extent cx="6226810" cy="5673090"/>
            <wp:effectExtent l="0" t="0" r="254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226810" cy="5673090"/>
                    </a:xfrm>
                    <a:prstGeom prst="rect">
                      <a:avLst/>
                    </a:prstGeom>
                  </pic:spPr>
                </pic:pic>
              </a:graphicData>
            </a:graphic>
            <wp14:sizeRelH relativeFrom="margin">
              <wp14:pctWidth>0</wp14:pctWidth>
            </wp14:sizeRelH>
            <wp14:sizeRelV relativeFrom="margin">
              <wp14:pctHeight>0</wp14:pctHeight>
            </wp14:sizeRelV>
          </wp:anchor>
        </w:drawing>
      </w:r>
    </w:p>
    <w:p w14:paraId="25FCF09F" w14:textId="77777777" w:rsidR="00981D4A" w:rsidRDefault="00981D4A" w:rsidP="00981D4A">
      <w:pPr>
        <w:spacing w:after="0" w:line="240" w:lineRule="auto"/>
        <w:jc w:val="both"/>
        <w:rPr>
          <w:rFonts w:ascii="Times New Roman" w:hAnsi="Times New Roman" w:cs="Times New Roman"/>
        </w:rPr>
      </w:pPr>
      <w:r>
        <w:rPr>
          <w:b/>
        </w:rPr>
        <w:t>Figure 1. CONSORT flow diagram of study participants</w:t>
      </w:r>
    </w:p>
    <w:p w14:paraId="73A7D13C" w14:textId="69F127B0" w:rsidR="00981D4A" w:rsidRPr="005E7C0F" w:rsidRDefault="00981D4A" w:rsidP="00981D4A">
      <w:pPr>
        <w:spacing w:after="0" w:line="240" w:lineRule="auto"/>
        <w:jc w:val="both"/>
        <w:rPr>
          <w:rFonts w:ascii="Times New Roman" w:eastAsia="Times New Roman" w:hAnsi="Times New Roman" w:cs="Times New Roman"/>
          <w:noProof/>
        </w:rPr>
      </w:pPr>
    </w:p>
    <w:p w14:paraId="4A6DB8EC" w14:textId="77777777" w:rsidR="00981D4A" w:rsidRPr="005E7C0F" w:rsidRDefault="00981D4A" w:rsidP="00B5597C">
      <w:pPr>
        <w:spacing w:after="0" w:line="240" w:lineRule="auto"/>
        <w:jc w:val="both"/>
        <w:rPr>
          <w:rFonts w:ascii="Times New Roman" w:hAnsi="Times New Roman" w:cs="Times New Roman"/>
        </w:rPr>
      </w:pPr>
    </w:p>
    <w:p w14:paraId="16E4C5DC" w14:textId="471DD266" w:rsidR="00C456ED" w:rsidRPr="005E7C0F" w:rsidRDefault="00981D4A" w:rsidP="006C2731">
      <w:pPr>
        <w:spacing w:after="0" w:line="240" w:lineRule="auto"/>
        <w:jc w:val="both"/>
        <w:rPr>
          <w:rFonts w:ascii="Times New Roman" w:hAnsi="Times New Roman" w:cs="Times New Roman"/>
          <w:b/>
          <w:bCs/>
        </w:rPr>
      </w:pPr>
      <w:r w:rsidRPr="005E7C0F">
        <w:rPr>
          <w:rFonts w:ascii="Times New Roman" w:hAnsi="Times New Roman" w:cs="Times New Roman"/>
          <w:b/>
          <w:bCs/>
        </w:rPr>
        <w:t xml:space="preserve">Results </w:t>
      </w:r>
    </w:p>
    <w:p w14:paraId="61875306"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A total of 100 patients with type 2 diabetes mellitus were enrolled and randomized equally into two treatment groups. Group A (n = 50) received empagliflozin, whereas Group B (n = 50) received dapagliflozin. All participants completed the 12-week follow-up and were included in the final analysis.</w:t>
      </w:r>
    </w:p>
    <w:p w14:paraId="1F88FFAC"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The mean age of the study population was 47.43 ± 9.31 years. Patients in the empagliflozin group had a mean age of 47.32 ± 9.67 years, while those in the dapagliflozin group had a mean age of 47.00 ± 9.28 years. Sixty participants (60.0%) were between 30 and 50 years of age, whereas forty (40.0%) were between 51 and 75 years (Table I).</w:t>
      </w:r>
    </w:p>
    <w:p w14:paraId="65C531F0" w14:textId="138D7C1A"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lastRenderedPageBreak/>
        <w:t xml:space="preserve">Of the 100 participants, 21 (21.0%) were male and 79 (79.0%) were female. Group A comprised </w:t>
      </w:r>
      <w:r w:rsidR="00F50A69" w:rsidRPr="005E7C0F">
        <w:rPr>
          <w:rFonts w:ascii="Times New Roman" w:hAnsi="Times New Roman" w:cs="Times New Roman"/>
        </w:rPr>
        <w:t xml:space="preserve">of </w:t>
      </w:r>
      <w:r w:rsidRPr="005E7C0F">
        <w:rPr>
          <w:rFonts w:ascii="Times New Roman" w:hAnsi="Times New Roman" w:cs="Times New Roman"/>
        </w:rPr>
        <w:t>12 males (24.0%) and 38 females (76.0%), whereas Group B included 9 males (18.0%) and 41 females (82.0%) (Table II).</w:t>
      </w:r>
    </w:p>
    <w:p w14:paraId="5919B6D4"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The overall mean duration of diabetes mellitus was 6.94 ± 2.12 years. The mean duration was 6.88 ± 2.09 years in the empagliflozin group and 7.00 ± 2.14 years in the dapagliflozin group. Forty patients (40.0%) had diabetes for ≤6 years, while sixty (60.0%) had a disease duration of &gt;6 years (Table III).</w:t>
      </w:r>
    </w:p>
    <w:p w14:paraId="4A87B968" w14:textId="77777777"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The overall mean body mass index (BMI) was 26.17 ± 3.11 kg/m². The mean BMI was 26.08 ± 2.95 kg/m² in Group A and 26.26 ± 3.26 kg/m² in Group B. Fifty-two participants (52.0%) had a BMI of ≤25 kg/m², whereas forty-eight (48.0%) had a BMI of</w:t>
      </w:r>
      <w:r w:rsidR="00C05BA4" w:rsidRPr="005E7C0F">
        <w:rPr>
          <w:rFonts w:ascii="Times New Roman" w:hAnsi="Times New Roman" w:cs="Times New Roman"/>
        </w:rPr>
        <w:t xml:space="preserve"> &gt;25 kg/m² (Table I</w:t>
      </w:r>
      <w:r w:rsidRPr="005E7C0F">
        <w:rPr>
          <w:rFonts w:ascii="Times New Roman" w:hAnsi="Times New Roman" w:cs="Times New Roman"/>
        </w:rPr>
        <w:t>).</w:t>
      </w:r>
    </w:p>
    <w:p w14:paraId="53E0B52E" w14:textId="14473555" w:rsidR="00C456ED" w:rsidRPr="005E7C0F" w:rsidRDefault="00C456ED" w:rsidP="006C2731">
      <w:pPr>
        <w:spacing w:after="0" w:line="240" w:lineRule="auto"/>
        <w:jc w:val="both"/>
        <w:rPr>
          <w:rFonts w:ascii="Times New Roman" w:hAnsi="Times New Roman" w:cs="Times New Roman"/>
        </w:rPr>
      </w:pPr>
      <w:r w:rsidRPr="005E7C0F">
        <w:rPr>
          <w:rFonts w:ascii="Times New Roman" w:hAnsi="Times New Roman" w:cs="Times New Roman"/>
        </w:rPr>
        <w:t>After 12 weeks of treatment, 46 of 50 patients (92.0%) in the empagliflozin group achieved the predefined efficacy outcome (≥30% reduction in 24-hour urinary protein excretion), compared with 38 of 50 patients (76.0%) in the dapagliflozin group. Conversely, treatment was ineffective in 4 patients (8.0%) receiving empagliflozin and 12 patients (24.0%) receiving dapagliflozin.</w:t>
      </w:r>
    </w:p>
    <w:p w14:paraId="0B01957B" w14:textId="1483830D" w:rsidR="000E4273" w:rsidRPr="005E7C0F" w:rsidRDefault="004B7DAA" w:rsidP="006C2731">
      <w:pPr>
        <w:spacing w:after="0" w:line="240" w:lineRule="auto"/>
        <w:jc w:val="both"/>
        <w:rPr>
          <w:rFonts w:ascii="Times New Roman" w:hAnsi="Times New Roman" w:cs="Times New Roman"/>
        </w:rPr>
      </w:pPr>
      <w:r w:rsidRPr="005E7C0F">
        <w:rPr>
          <w:rFonts w:ascii="Times New Roman" w:hAnsi="Times New Roman" w:cs="Times New Roman"/>
        </w:rPr>
        <w:t>The difference in treatment efficacy between the two groups was statistically significant (χ² test, p = 0.029) (Table II), indicating that empagliflozin produced a significantly greater reduction in proteinuria than dapagliflozin after 12 weeks of therapy</w:t>
      </w:r>
      <w:r w:rsidR="00B7687F" w:rsidRPr="005E7C0F">
        <w:rPr>
          <w:rFonts w:ascii="Times New Roman" w:hAnsi="Times New Roman" w:cs="Times New Roman"/>
        </w:rPr>
        <w:t>.</w:t>
      </w:r>
    </w:p>
    <w:p w14:paraId="56D03825"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7D274442" w14:textId="77777777" w:rsidR="00981D4A" w:rsidRPr="00981D4A" w:rsidRDefault="00981D4A" w:rsidP="00981D4A">
      <w:pPr>
        <w:rPr>
          <w:rFonts w:ascii="Times New Roman" w:hAnsi="Times New Roman" w:cs="Times New Roman"/>
        </w:rPr>
      </w:pPr>
      <w:r w:rsidRPr="00981D4A">
        <w:rPr>
          <w:rFonts w:ascii="Times New Roman" w:hAnsi="Times New Roman" w:cs="Times New Roman"/>
          <w:b/>
        </w:rPr>
        <w:t>Table I. Baseline characteristics of the study participants (N = 100).</w:t>
      </w:r>
    </w:p>
    <w:tbl>
      <w:tblPr>
        <w:tblStyle w:val="TableGrid"/>
        <w:tblW w:w="0" w:type="auto"/>
        <w:jc w:val="center"/>
        <w:tblLook w:val="04A0" w:firstRow="1" w:lastRow="0" w:firstColumn="1" w:lastColumn="0" w:noHBand="0" w:noVBand="1"/>
      </w:tblPr>
      <w:tblGrid>
        <w:gridCol w:w="1947"/>
        <w:gridCol w:w="1945"/>
        <w:gridCol w:w="1940"/>
        <w:gridCol w:w="1880"/>
        <w:gridCol w:w="1864"/>
      </w:tblGrid>
      <w:tr w:rsidR="00981D4A" w14:paraId="4F9F05EA" w14:textId="77777777" w:rsidTr="00B17A69">
        <w:trPr>
          <w:jc w:val="center"/>
        </w:trPr>
        <w:tc>
          <w:tcPr>
            <w:tcW w:w="2102" w:type="dxa"/>
            <w:shd w:val="clear" w:color="auto" w:fill="1F4E78"/>
            <w:vAlign w:val="center"/>
          </w:tcPr>
          <w:p w14:paraId="667288E4" w14:textId="77777777" w:rsidR="00981D4A" w:rsidRDefault="00981D4A" w:rsidP="00B17A69">
            <w:pPr>
              <w:jc w:val="center"/>
            </w:pPr>
            <w:r>
              <w:rPr>
                <w:b/>
                <w:color w:val="FFFFFF"/>
                <w:sz w:val="17"/>
              </w:rPr>
              <w:t>Characteristic</w:t>
            </w:r>
          </w:p>
        </w:tc>
        <w:tc>
          <w:tcPr>
            <w:tcW w:w="2102" w:type="dxa"/>
            <w:shd w:val="clear" w:color="auto" w:fill="1F4E78"/>
            <w:vAlign w:val="center"/>
          </w:tcPr>
          <w:p w14:paraId="52FA88D7" w14:textId="77777777" w:rsidR="00981D4A" w:rsidRDefault="00981D4A" w:rsidP="00B17A69">
            <w:pPr>
              <w:jc w:val="center"/>
            </w:pPr>
            <w:r>
              <w:rPr>
                <w:b/>
                <w:color w:val="FFFFFF"/>
                <w:sz w:val="17"/>
              </w:rPr>
              <w:t>Empagliflozin</w:t>
            </w:r>
            <w:r>
              <w:rPr>
                <w:b/>
                <w:color w:val="FFFFFF"/>
                <w:sz w:val="17"/>
              </w:rPr>
              <w:br/>
              <w:t>Group A (n=50)</w:t>
            </w:r>
          </w:p>
        </w:tc>
        <w:tc>
          <w:tcPr>
            <w:tcW w:w="2102" w:type="dxa"/>
            <w:shd w:val="clear" w:color="auto" w:fill="1F4E78"/>
            <w:vAlign w:val="center"/>
          </w:tcPr>
          <w:p w14:paraId="70607D2A" w14:textId="77777777" w:rsidR="00981D4A" w:rsidRDefault="00981D4A" w:rsidP="00B17A69">
            <w:pPr>
              <w:jc w:val="center"/>
            </w:pPr>
            <w:r>
              <w:rPr>
                <w:b/>
                <w:color w:val="FFFFFF"/>
                <w:sz w:val="17"/>
              </w:rPr>
              <w:t>Dapagliflozin</w:t>
            </w:r>
            <w:r>
              <w:rPr>
                <w:b/>
                <w:color w:val="FFFFFF"/>
                <w:sz w:val="17"/>
              </w:rPr>
              <w:br/>
              <w:t>Group B (n=50)</w:t>
            </w:r>
          </w:p>
        </w:tc>
        <w:tc>
          <w:tcPr>
            <w:tcW w:w="2102" w:type="dxa"/>
            <w:shd w:val="clear" w:color="auto" w:fill="1F4E78"/>
            <w:vAlign w:val="center"/>
          </w:tcPr>
          <w:p w14:paraId="40AEA506" w14:textId="77777777" w:rsidR="00981D4A" w:rsidRDefault="00981D4A" w:rsidP="00B17A69">
            <w:pPr>
              <w:jc w:val="center"/>
            </w:pPr>
            <w:r>
              <w:rPr>
                <w:b/>
                <w:color w:val="FFFFFF"/>
                <w:sz w:val="17"/>
              </w:rPr>
              <w:t>Total</w:t>
            </w:r>
            <w:r>
              <w:rPr>
                <w:b/>
                <w:color w:val="FFFFFF"/>
                <w:sz w:val="17"/>
              </w:rPr>
              <w:br/>
              <w:t>(N=100)</w:t>
            </w:r>
          </w:p>
        </w:tc>
        <w:tc>
          <w:tcPr>
            <w:tcW w:w="2102" w:type="dxa"/>
            <w:shd w:val="clear" w:color="auto" w:fill="1F4E78"/>
            <w:vAlign w:val="center"/>
          </w:tcPr>
          <w:p w14:paraId="06FDBF42" w14:textId="77777777" w:rsidR="00981D4A" w:rsidRDefault="00981D4A" w:rsidP="00B17A69">
            <w:pPr>
              <w:jc w:val="center"/>
            </w:pPr>
            <w:r>
              <w:rPr>
                <w:b/>
                <w:color w:val="FFFFFF"/>
                <w:sz w:val="17"/>
              </w:rPr>
              <w:t>P-value*</w:t>
            </w:r>
          </w:p>
        </w:tc>
      </w:tr>
      <w:tr w:rsidR="00981D4A" w14:paraId="3B829548" w14:textId="77777777" w:rsidTr="00B17A69">
        <w:trPr>
          <w:jc w:val="center"/>
        </w:trPr>
        <w:tc>
          <w:tcPr>
            <w:tcW w:w="2102" w:type="dxa"/>
            <w:shd w:val="clear" w:color="auto" w:fill="D9EAF7"/>
            <w:vAlign w:val="center"/>
          </w:tcPr>
          <w:p w14:paraId="22B2D207" w14:textId="77777777" w:rsidR="00981D4A" w:rsidRDefault="00981D4A" w:rsidP="00B17A69">
            <w:pPr>
              <w:jc w:val="center"/>
            </w:pPr>
            <w:r>
              <w:rPr>
                <w:b/>
                <w:sz w:val="17"/>
              </w:rPr>
              <w:t>Age (years)</w:t>
            </w:r>
          </w:p>
        </w:tc>
        <w:tc>
          <w:tcPr>
            <w:tcW w:w="2102" w:type="dxa"/>
            <w:shd w:val="clear" w:color="auto" w:fill="D9EAF7"/>
            <w:vAlign w:val="center"/>
          </w:tcPr>
          <w:p w14:paraId="41301F39" w14:textId="77777777" w:rsidR="00981D4A" w:rsidRDefault="00981D4A" w:rsidP="00B17A69">
            <w:pPr>
              <w:jc w:val="center"/>
            </w:pPr>
          </w:p>
        </w:tc>
        <w:tc>
          <w:tcPr>
            <w:tcW w:w="2102" w:type="dxa"/>
            <w:shd w:val="clear" w:color="auto" w:fill="D9EAF7"/>
            <w:vAlign w:val="center"/>
          </w:tcPr>
          <w:p w14:paraId="6E2AAEE3" w14:textId="77777777" w:rsidR="00981D4A" w:rsidRDefault="00981D4A" w:rsidP="00B17A69">
            <w:pPr>
              <w:jc w:val="center"/>
            </w:pPr>
          </w:p>
        </w:tc>
        <w:tc>
          <w:tcPr>
            <w:tcW w:w="2102" w:type="dxa"/>
            <w:shd w:val="clear" w:color="auto" w:fill="D9EAF7"/>
            <w:vAlign w:val="center"/>
          </w:tcPr>
          <w:p w14:paraId="76842ADB" w14:textId="77777777" w:rsidR="00981D4A" w:rsidRDefault="00981D4A" w:rsidP="00B17A69">
            <w:pPr>
              <w:jc w:val="center"/>
            </w:pPr>
          </w:p>
        </w:tc>
        <w:tc>
          <w:tcPr>
            <w:tcW w:w="2102" w:type="dxa"/>
            <w:shd w:val="clear" w:color="auto" w:fill="D9EAF7"/>
            <w:vAlign w:val="center"/>
          </w:tcPr>
          <w:p w14:paraId="476CFF15" w14:textId="77777777" w:rsidR="00981D4A" w:rsidRDefault="00981D4A" w:rsidP="00B17A69">
            <w:pPr>
              <w:jc w:val="center"/>
            </w:pPr>
          </w:p>
        </w:tc>
      </w:tr>
      <w:tr w:rsidR="00981D4A" w14:paraId="09AA4AC9" w14:textId="77777777" w:rsidTr="00B17A69">
        <w:trPr>
          <w:jc w:val="center"/>
        </w:trPr>
        <w:tc>
          <w:tcPr>
            <w:tcW w:w="2102" w:type="dxa"/>
            <w:vAlign w:val="center"/>
          </w:tcPr>
          <w:p w14:paraId="1BA5BE08" w14:textId="77777777" w:rsidR="00981D4A" w:rsidRDefault="00981D4A" w:rsidP="00B17A69">
            <w:pPr>
              <w:jc w:val="center"/>
            </w:pPr>
            <w:r>
              <w:rPr>
                <w:sz w:val="17"/>
              </w:rPr>
              <w:t xml:space="preserve">  Mean ± SD</w:t>
            </w:r>
          </w:p>
        </w:tc>
        <w:tc>
          <w:tcPr>
            <w:tcW w:w="2102" w:type="dxa"/>
            <w:vAlign w:val="center"/>
          </w:tcPr>
          <w:p w14:paraId="4077E856" w14:textId="77777777" w:rsidR="00981D4A" w:rsidRDefault="00981D4A" w:rsidP="00B17A69">
            <w:pPr>
              <w:jc w:val="center"/>
            </w:pPr>
            <w:r>
              <w:rPr>
                <w:sz w:val="17"/>
              </w:rPr>
              <w:t>47.32 ± 9.67</w:t>
            </w:r>
          </w:p>
        </w:tc>
        <w:tc>
          <w:tcPr>
            <w:tcW w:w="2102" w:type="dxa"/>
            <w:vAlign w:val="center"/>
          </w:tcPr>
          <w:p w14:paraId="53190442" w14:textId="77777777" w:rsidR="00981D4A" w:rsidRDefault="00981D4A" w:rsidP="00B17A69">
            <w:pPr>
              <w:jc w:val="center"/>
            </w:pPr>
            <w:r>
              <w:rPr>
                <w:sz w:val="17"/>
              </w:rPr>
              <w:t>47.00 ± 9.28</w:t>
            </w:r>
          </w:p>
        </w:tc>
        <w:tc>
          <w:tcPr>
            <w:tcW w:w="2102" w:type="dxa"/>
            <w:vAlign w:val="center"/>
          </w:tcPr>
          <w:p w14:paraId="01C529BA" w14:textId="77777777" w:rsidR="00981D4A" w:rsidRDefault="00981D4A" w:rsidP="00B17A69">
            <w:pPr>
              <w:jc w:val="center"/>
            </w:pPr>
            <w:r>
              <w:rPr>
                <w:sz w:val="17"/>
              </w:rPr>
              <w:t>47.43 ± 9.31</w:t>
            </w:r>
          </w:p>
        </w:tc>
        <w:tc>
          <w:tcPr>
            <w:tcW w:w="2102" w:type="dxa"/>
            <w:vAlign w:val="center"/>
          </w:tcPr>
          <w:p w14:paraId="03DE7E92" w14:textId="77777777" w:rsidR="00981D4A" w:rsidRDefault="00981D4A" w:rsidP="00B17A69">
            <w:pPr>
              <w:jc w:val="center"/>
            </w:pPr>
            <w:r>
              <w:rPr>
                <w:sz w:val="17"/>
              </w:rPr>
              <w:t>0.87</w:t>
            </w:r>
          </w:p>
        </w:tc>
      </w:tr>
      <w:tr w:rsidR="00981D4A" w14:paraId="408E7CA4" w14:textId="77777777" w:rsidTr="00B17A69">
        <w:trPr>
          <w:jc w:val="center"/>
        </w:trPr>
        <w:tc>
          <w:tcPr>
            <w:tcW w:w="2102" w:type="dxa"/>
            <w:vAlign w:val="center"/>
          </w:tcPr>
          <w:p w14:paraId="6503BDC6" w14:textId="77777777" w:rsidR="00981D4A" w:rsidRDefault="00981D4A" w:rsidP="00B17A69">
            <w:pPr>
              <w:jc w:val="center"/>
            </w:pPr>
            <w:r>
              <w:rPr>
                <w:sz w:val="17"/>
              </w:rPr>
              <w:t xml:space="preserve">  • 30–50 years, n (%)</w:t>
            </w:r>
          </w:p>
        </w:tc>
        <w:tc>
          <w:tcPr>
            <w:tcW w:w="2102" w:type="dxa"/>
            <w:vAlign w:val="center"/>
          </w:tcPr>
          <w:p w14:paraId="5B9451C9" w14:textId="77777777" w:rsidR="00981D4A" w:rsidRDefault="00981D4A" w:rsidP="00B17A69">
            <w:pPr>
              <w:jc w:val="center"/>
            </w:pPr>
            <w:r>
              <w:rPr>
                <w:sz w:val="17"/>
              </w:rPr>
              <w:t>29 (58.0)</w:t>
            </w:r>
          </w:p>
        </w:tc>
        <w:tc>
          <w:tcPr>
            <w:tcW w:w="2102" w:type="dxa"/>
            <w:vAlign w:val="center"/>
          </w:tcPr>
          <w:p w14:paraId="641284CD" w14:textId="77777777" w:rsidR="00981D4A" w:rsidRDefault="00981D4A" w:rsidP="00B17A69">
            <w:pPr>
              <w:jc w:val="center"/>
            </w:pPr>
            <w:r>
              <w:rPr>
                <w:sz w:val="17"/>
              </w:rPr>
              <w:t>31 (62.0)</w:t>
            </w:r>
          </w:p>
        </w:tc>
        <w:tc>
          <w:tcPr>
            <w:tcW w:w="2102" w:type="dxa"/>
            <w:vAlign w:val="center"/>
          </w:tcPr>
          <w:p w14:paraId="357DA52F" w14:textId="77777777" w:rsidR="00981D4A" w:rsidRDefault="00981D4A" w:rsidP="00B17A69">
            <w:pPr>
              <w:jc w:val="center"/>
            </w:pPr>
            <w:r>
              <w:rPr>
                <w:sz w:val="17"/>
              </w:rPr>
              <w:t>60 (60.0)</w:t>
            </w:r>
          </w:p>
        </w:tc>
        <w:tc>
          <w:tcPr>
            <w:tcW w:w="2102" w:type="dxa"/>
            <w:vAlign w:val="center"/>
          </w:tcPr>
          <w:p w14:paraId="3036C774" w14:textId="77777777" w:rsidR="00981D4A" w:rsidRDefault="00981D4A" w:rsidP="00B17A69">
            <w:pPr>
              <w:jc w:val="center"/>
            </w:pPr>
            <w:r>
              <w:rPr>
                <w:sz w:val="17"/>
              </w:rPr>
              <w:t>0.69†</w:t>
            </w:r>
          </w:p>
        </w:tc>
      </w:tr>
      <w:tr w:rsidR="00981D4A" w14:paraId="12A19172" w14:textId="77777777" w:rsidTr="00B17A69">
        <w:trPr>
          <w:jc w:val="center"/>
        </w:trPr>
        <w:tc>
          <w:tcPr>
            <w:tcW w:w="2102" w:type="dxa"/>
            <w:vAlign w:val="center"/>
          </w:tcPr>
          <w:p w14:paraId="35506EB4" w14:textId="77777777" w:rsidR="00981D4A" w:rsidRDefault="00981D4A" w:rsidP="00B17A69">
            <w:pPr>
              <w:jc w:val="center"/>
            </w:pPr>
            <w:r>
              <w:rPr>
                <w:sz w:val="17"/>
              </w:rPr>
              <w:t xml:space="preserve">  • 51–75 years, n (%)</w:t>
            </w:r>
          </w:p>
        </w:tc>
        <w:tc>
          <w:tcPr>
            <w:tcW w:w="2102" w:type="dxa"/>
            <w:vAlign w:val="center"/>
          </w:tcPr>
          <w:p w14:paraId="69B3C209" w14:textId="77777777" w:rsidR="00981D4A" w:rsidRDefault="00981D4A" w:rsidP="00B17A69">
            <w:pPr>
              <w:jc w:val="center"/>
            </w:pPr>
            <w:r>
              <w:rPr>
                <w:sz w:val="17"/>
              </w:rPr>
              <w:t>21 (42.0)</w:t>
            </w:r>
          </w:p>
        </w:tc>
        <w:tc>
          <w:tcPr>
            <w:tcW w:w="2102" w:type="dxa"/>
            <w:vAlign w:val="center"/>
          </w:tcPr>
          <w:p w14:paraId="3027BA86" w14:textId="77777777" w:rsidR="00981D4A" w:rsidRDefault="00981D4A" w:rsidP="00B17A69">
            <w:pPr>
              <w:jc w:val="center"/>
            </w:pPr>
            <w:r>
              <w:rPr>
                <w:sz w:val="17"/>
              </w:rPr>
              <w:t>19 (38.0)</w:t>
            </w:r>
          </w:p>
        </w:tc>
        <w:tc>
          <w:tcPr>
            <w:tcW w:w="2102" w:type="dxa"/>
            <w:vAlign w:val="center"/>
          </w:tcPr>
          <w:p w14:paraId="7F2B65B1" w14:textId="77777777" w:rsidR="00981D4A" w:rsidRDefault="00981D4A" w:rsidP="00B17A69">
            <w:pPr>
              <w:jc w:val="center"/>
            </w:pPr>
            <w:r>
              <w:rPr>
                <w:sz w:val="17"/>
              </w:rPr>
              <w:t>40 (40.0)</w:t>
            </w:r>
          </w:p>
        </w:tc>
        <w:tc>
          <w:tcPr>
            <w:tcW w:w="2102" w:type="dxa"/>
            <w:vAlign w:val="center"/>
          </w:tcPr>
          <w:p w14:paraId="3EE92E4A" w14:textId="77777777" w:rsidR="00981D4A" w:rsidRDefault="00981D4A" w:rsidP="00B17A69">
            <w:pPr>
              <w:jc w:val="center"/>
            </w:pPr>
          </w:p>
        </w:tc>
      </w:tr>
      <w:tr w:rsidR="00981D4A" w14:paraId="542D5451" w14:textId="77777777" w:rsidTr="00B17A69">
        <w:trPr>
          <w:jc w:val="center"/>
        </w:trPr>
        <w:tc>
          <w:tcPr>
            <w:tcW w:w="2102" w:type="dxa"/>
            <w:shd w:val="clear" w:color="auto" w:fill="D9EAF7"/>
            <w:vAlign w:val="center"/>
          </w:tcPr>
          <w:p w14:paraId="5B557D9B" w14:textId="77777777" w:rsidR="00981D4A" w:rsidRDefault="00981D4A" w:rsidP="00B17A69">
            <w:pPr>
              <w:jc w:val="center"/>
            </w:pPr>
            <w:r>
              <w:rPr>
                <w:b/>
                <w:sz w:val="17"/>
              </w:rPr>
              <w:t>Gender, n (%)</w:t>
            </w:r>
          </w:p>
        </w:tc>
        <w:tc>
          <w:tcPr>
            <w:tcW w:w="2102" w:type="dxa"/>
            <w:shd w:val="clear" w:color="auto" w:fill="D9EAF7"/>
            <w:vAlign w:val="center"/>
          </w:tcPr>
          <w:p w14:paraId="79C0902D" w14:textId="77777777" w:rsidR="00981D4A" w:rsidRDefault="00981D4A" w:rsidP="00B17A69">
            <w:pPr>
              <w:jc w:val="center"/>
            </w:pPr>
          </w:p>
        </w:tc>
        <w:tc>
          <w:tcPr>
            <w:tcW w:w="2102" w:type="dxa"/>
            <w:shd w:val="clear" w:color="auto" w:fill="D9EAF7"/>
            <w:vAlign w:val="center"/>
          </w:tcPr>
          <w:p w14:paraId="6B680BA0" w14:textId="77777777" w:rsidR="00981D4A" w:rsidRDefault="00981D4A" w:rsidP="00B17A69">
            <w:pPr>
              <w:jc w:val="center"/>
            </w:pPr>
          </w:p>
        </w:tc>
        <w:tc>
          <w:tcPr>
            <w:tcW w:w="2102" w:type="dxa"/>
            <w:shd w:val="clear" w:color="auto" w:fill="D9EAF7"/>
            <w:vAlign w:val="center"/>
          </w:tcPr>
          <w:p w14:paraId="1192EDF1" w14:textId="77777777" w:rsidR="00981D4A" w:rsidRDefault="00981D4A" w:rsidP="00B17A69">
            <w:pPr>
              <w:jc w:val="center"/>
            </w:pPr>
          </w:p>
        </w:tc>
        <w:tc>
          <w:tcPr>
            <w:tcW w:w="2102" w:type="dxa"/>
            <w:shd w:val="clear" w:color="auto" w:fill="D9EAF7"/>
            <w:vAlign w:val="center"/>
          </w:tcPr>
          <w:p w14:paraId="4CBEF0EB" w14:textId="77777777" w:rsidR="00981D4A" w:rsidRDefault="00981D4A" w:rsidP="00B17A69">
            <w:pPr>
              <w:jc w:val="center"/>
            </w:pPr>
          </w:p>
        </w:tc>
      </w:tr>
      <w:tr w:rsidR="00981D4A" w14:paraId="2BF3ADFB" w14:textId="77777777" w:rsidTr="00B17A69">
        <w:trPr>
          <w:jc w:val="center"/>
        </w:trPr>
        <w:tc>
          <w:tcPr>
            <w:tcW w:w="2102" w:type="dxa"/>
            <w:vAlign w:val="center"/>
          </w:tcPr>
          <w:p w14:paraId="6A08854F" w14:textId="77777777" w:rsidR="00981D4A" w:rsidRDefault="00981D4A" w:rsidP="00B17A69">
            <w:pPr>
              <w:jc w:val="center"/>
            </w:pPr>
            <w:r>
              <w:rPr>
                <w:sz w:val="17"/>
              </w:rPr>
              <w:t xml:space="preserve">  • Male</w:t>
            </w:r>
          </w:p>
        </w:tc>
        <w:tc>
          <w:tcPr>
            <w:tcW w:w="2102" w:type="dxa"/>
            <w:vAlign w:val="center"/>
          </w:tcPr>
          <w:p w14:paraId="63EF1864" w14:textId="77777777" w:rsidR="00981D4A" w:rsidRDefault="00981D4A" w:rsidP="00B17A69">
            <w:pPr>
              <w:jc w:val="center"/>
            </w:pPr>
            <w:r>
              <w:rPr>
                <w:sz w:val="17"/>
              </w:rPr>
              <w:t>12 (24.0)</w:t>
            </w:r>
          </w:p>
        </w:tc>
        <w:tc>
          <w:tcPr>
            <w:tcW w:w="2102" w:type="dxa"/>
            <w:vAlign w:val="center"/>
          </w:tcPr>
          <w:p w14:paraId="6687955C" w14:textId="77777777" w:rsidR="00981D4A" w:rsidRDefault="00981D4A" w:rsidP="00B17A69">
            <w:pPr>
              <w:jc w:val="center"/>
            </w:pPr>
            <w:r>
              <w:rPr>
                <w:sz w:val="17"/>
              </w:rPr>
              <w:t>9 (18.0)</w:t>
            </w:r>
          </w:p>
        </w:tc>
        <w:tc>
          <w:tcPr>
            <w:tcW w:w="2102" w:type="dxa"/>
            <w:vAlign w:val="center"/>
          </w:tcPr>
          <w:p w14:paraId="7A79CCE0" w14:textId="77777777" w:rsidR="00981D4A" w:rsidRDefault="00981D4A" w:rsidP="00B17A69">
            <w:pPr>
              <w:jc w:val="center"/>
            </w:pPr>
            <w:r>
              <w:rPr>
                <w:sz w:val="17"/>
              </w:rPr>
              <w:t>21 (21.0)</w:t>
            </w:r>
          </w:p>
        </w:tc>
        <w:tc>
          <w:tcPr>
            <w:tcW w:w="2102" w:type="dxa"/>
            <w:vAlign w:val="center"/>
          </w:tcPr>
          <w:p w14:paraId="2DB5A124" w14:textId="77777777" w:rsidR="00981D4A" w:rsidRDefault="00981D4A" w:rsidP="00B17A69">
            <w:pPr>
              <w:jc w:val="center"/>
            </w:pPr>
            <w:r>
              <w:rPr>
                <w:sz w:val="17"/>
              </w:rPr>
              <w:t>0.46†</w:t>
            </w:r>
          </w:p>
        </w:tc>
      </w:tr>
      <w:tr w:rsidR="00981D4A" w14:paraId="53DF893F" w14:textId="77777777" w:rsidTr="00B17A69">
        <w:trPr>
          <w:jc w:val="center"/>
        </w:trPr>
        <w:tc>
          <w:tcPr>
            <w:tcW w:w="2102" w:type="dxa"/>
            <w:vAlign w:val="center"/>
          </w:tcPr>
          <w:p w14:paraId="3E665019" w14:textId="77777777" w:rsidR="00981D4A" w:rsidRDefault="00981D4A" w:rsidP="00B17A69">
            <w:pPr>
              <w:jc w:val="center"/>
            </w:pPr>
            <w:r>
              <w:rPr>
                <w:sz w:val="17"/>
              </w:rPr>
              <w:t xml:space="preserve">  • Female</w:t>
            </w:r>
          </w:p>
        </w:tc>
        <w:tc>
          <w:tcPr>
            <w:tcW w:w="2102" w:type="dxa"/>
            <w:vAlign w:val="center"/>
          </w:tcPr>
          <w:p w14:paraId="761BA7B8" w14:textId="77777777" w:rsidR="00981D4A" w:rsidRDefault="00981D4A" w:rsidP="00B17A69">
            <w:pPr>
              <w:jc w:val="center"/>
            </w:pPr>
            <w:r>
              <w:rPr>
                <w:sz w:val="17"/>
              </w:rPr>
              <w:t>38 (76.0)</w:t>
            </w:r>
          </w:p>
        </w:tc>
        <w:tc>
          <w:tcPr>
            <w:tcW w:w="2102" w:type="dxa"/>
            <w:vAlign w:val="center"/>
          </w:tcPr>
          <w:p w14:paraId="1DFE397A" w14:textId="77777777" w:rsidR="00981D4A" w:rsidRDefault="00981D4A" w:rsidP="00B17A69">
            <w:pPr>
              <w:jc w:val="center"/>
            </w:pPr>
            <w:r>
              <w:rPr>
                <w:sz w:val="17"/>
              </w:rPr>
              <w:t>41 (82.0)</w:t>
            </w:r>
          </w:p>
        </w:tc>
        <w:tc>
          <w:tcPr>
            <w:tcW w:w="2102" w:type="dxa"/>
            <w:vAlign w:val="center"/>
          </w:tcPr>
          <w:p w14:paraId="3CEFCC12" w14:textId="77777777" w:rsidR="00981D4A" w:rsidRDefault="00981D4A" w:rsidP="00B17A69">
            <w:pPr>
              <w:jc w:val="center"/>
            </w:pPr>
            <w:r>
              <w:rPr>
                <w:sz w:val="17"/>
              </w:rPr>
              <w:t>79 (79.0)</w:t>
            </w:r>
          </w:p>
        </w:tc>
        <w:tc>
          <w:tcPr>
            <w:tcW w:w="2102" w:type="dxa"/>
            <w:vAlign w:val="center"/>
          </w:tcPr>
          <w:p w14:paraId="5674A4B5" w14:textId="77777777" w:rsidR="00981D4A" w:rsidRDefault="00981D4A" w:rsidP="00B17A69">
            <w:pPr>
              <w:jc w:val="center"/>
            </w:pPr>
          </w:p>
        </w:tc>
      </w:tr>
      <w:tr w:rsidR="00981D4A" w14:paraId="4CF7D321" w14:textId="77777777" w:rsidTr="00B17A69">
        <w:trPr>
          <w:jc w:val="center"/>
        </w:trPr>
        <w:tc>
          <w:tcPr>
            <w:tcW w:w="2102" w:type="dxa"/>
            <w:shd w:val="clear" w:color="auto" w:fill="D9EAF7"/>
            <w:vAlign w:val="center"/>
          </w:tcPr>
          <w:p w14:paraId="41A11964" w14:textId="77777777" w:rsidR="00981D4A" w:rsidRDefault="00981D4A" w:rsidP="00B17A69">
            <w:pPr>
              <w:jc w:val="center"/>
            </w:pPr>
            <w:r>
              <w:rPr>
                <w:b/>
                <w:sz w:val="17"/>
              </w:rPr>
              <w:t>Duration of diabetes (years)</w:t>
            </w:r>
          </w:p>
        </w:tc>
        <w:tc>
          <w:tcPr>
            <w:tcW w:w="2102" w:type="dxa"/>
            <w:shd w:val="clear" w:color="auto" w:fill="D9EAF7"/>
            <w:vAlign w:val="center"/>
          </w:tcPr>
          <w:p w14:paraId="5C57F38F" w14:textId="77777777" w:rsidR="00981D4A" w:rsidRDefault="00981D4A" w:rsidP="00B17A69">
            <w:pPr>
              <w:jc w:val="center"/>
            </w:pPr>
          </w:p>
        </w:tc>
        <w:tc>
          <w:tcPr>
            <w:tcW w:w="2102" w:type="dxa"/>
            <w:shd w:val="clear" w:color="auto" w:fill="D9EAF7"/>
            <w:vAlign w:val="center"/>
          </w:tcPr>
          <w:p w14:paraId="352793CF" w14:textId="77777777" w:rsidR="00981D4A" w:rsidRDefault="00981D4A" w:rsidP="00B17A69">
            <w:pPr>
              <w:jc w:val="center"/>
            </w:pPr>
          </w:p>
        </w:tc>
        <w:tc>
          <w:tcPr>
            <w:tcW w:w="2102" w:type="dxa"/>
            <w:shd w:val="clear" w:color="auto" w:fill="D9EAF7"/>
            <w:vAlign w:val="center"/>
          </w:tcPr>
          <w:p w14:paraId="4A5E4464" w14:textId="77777777" w:rsidR="00981D4A" w:rsidRDefault="00981D4A" w:rsidP="00B17A69">
            <w:pPr>
              <w:jc w:val="center"/>
            </w:pPr>
          </w:p>
        </w:tc>
        <w:tc>
          <w:tcPr>
            <w:tcW w:w="2102" w:type="dxa"/>
            <w:shd w:val="clear" w:color="auto" w:fill="D9EAF7"/>
            <w:vAlign w:val="center"/>
          </w:tcPr>
          <w:p w14:paraId="1D728227" w14:textId="77777777" w:rsidR="00981D4A" w:rsidRDefault="00981D4A" w:rsidP="00B17A69">
            <w:pPr>
              <w:jc w:val="center"/>
            </w:pPr>
          </w:p>
        </w:tc>
      </w:tr>
      <w:tr w:rsidR="00981D4A" w14:paraId="35EB8129" w14:textId="77777777" w:rsidTr="00B17A69">
        <w:trPr>
          <w:jc w:val="center"/>
        </w:trPr>
        <w:tc>
          <w:tcPr>
            <w:tcW w:w="2102" w:type="dxa"/>
            <w:vAlign w:val="center"/>
          </w:tcPr>
          <w:p w14:paraId="5A6B8555" w14:textId="77777777" w:rsidR="00981D4A" w:rsidRDefault="00981D4A" w:rsidP="00B17A69">
            <w:pPr>
              <w:jc w:val="center"/>
            </w:pPr>
            <w:r>
              <w:rPr>
                <w:sz w:val="17"/>
              </w:rPr>
              <w:t xml:space="preserve">  Mean ± SD</w:t>
            </w:r>
          </w:p>
        </w:tc>
        <w:tc>
          <w:tcPr>
            <w:tcW w:w="2102" w:type="dxa"/>
            <w:vAlign w:val="center"/>
          </w:tcPr>
          <w:p w14:paraId="69E700BE" w14:textId="77777777" w:rsidR="00981D4A" w:rsidRDefault="00981D4A" w:rsidP="00B17A69">
            <w:pPr>
              <w:jc w:val="center"/>
            </w:pPr>
            <w:r>
              <w:rPr>
                <w:sz w:val="17"/>
              </w:rPr>
              <w:t>6.88 ± 2.09</w:t>
            </w:r>
          </w:p>
        </w:tc>
        <w:tc>
          <w:tcPr>
            <w:tcW w:w="2102" w:type="dxa"/>
            <w:vAlign w:val="center"/>
          </w:tcPr>
          <w:p w14:paraId="5E146452" w14:textId="77777777" w:rsidR="00981D4A" w:rsidRDefault="00981D4A" w:rsidP="00B17A69">
            <w:pPr>
              <w:jc w:val="center"/>
            </w:pPr>
            <w:r>
              <w:rPr>
                <w:sz w:val="17"/>
              </w:rPr>
              <w:t>7.00 ± 2.14</w:t>
            </w:r>
          </w:p>
        </w:tc>
        <w:tc>
          <w:tcPr>
            <w:tcW w:w="2102" w:type="dxa"/>
            <w:vAlign w:val="center"/>
          </w:tcPr>
          <w:p w14:paraId="4F597BD3" w14:textId="77777777" w:rsidR="00981D4A" w:rsidRDefault="00981D4A" w:rsidP="00B17A69">
            <w:pPr>
              <w:jc w:val="center"/>
            </w:pPr>
            <w:r>
              <w:rPr>
                <w:sz w:val="17"/>
              </w:rPr>
              <w:t>6.94 ± 2.12</w:t>
            </w:r>
          </w:p>
        </w:tc>
        <w:tc>
          <w:tcPr>
            <w:tcW w:w="2102" w:type="dxa"/>
            <w:vAlign w:val="center"/>
          </w:tcPr>
          <w:p w14:paraId="36F025EB" w14:textId="77777777" w:rsidR="00981D4A" w:rsidRDefault="00981D4A" w:rsidP="00B17A69">
            <w:pPr>
              <w:jc w:val="center"/>
            </w:pPr>
            <w:r>
              <w:rPr>
                <w:sz w:val="17"/>
              </w:rPr>
              <w:t>0.78</w:t>
            </w:r>
          </w:p>
        </w:tc>
      </w:tr>
      <w:tr w:rsidR="00981D4A" w14:paraId="3C8A1D5B" w14:textId="77777777" w:rsidTr="00B17A69">
        <w:trPr>
          <w:jc w:val="center"/>
        </w:trPr>
        <w:tc>
          <w:tcPr>
            <w:tcW w:w="2102" w:type="dxa"/>
            <w:vAlign w:val="center"/>
          </w:tcPr>
          <w:p w14:paraId="26C6E51A" w14:textId="77777777" w:rsidR="00981D4A" w:rsidRDefault="00981D4A" w:rsidP="00B17A69">
            <w:pPr>
              <w:jc w:val="center"/>
            </w:pPr>
            <w:r>
              <w:rPr>
                <w:sz w:val="17"/>
              </w:rPr>
              <w:t xml:space="preserve">  • ≤6 years, n (%)</w:t>
            </w:r>
          </w:p>
        </w:tc>
        <w:tc>
          <w:tcPr>
            <w:tcW w:w="2102" w:type="dxa"/>
            <w:vAlign w:val="center"/>
          </w:tcPr>
          <w:p w14:paraId="374FDCCE" w14:textId="77777777" w:rsidR="00981D4A" w:rsidRDefault="00981D4A" w:rsidP="00B17A69">
            <w:pPr>
              <w:jc w:val="center"/>
            </w:pPr>
            <w:r>
              <w:rPr>
                <w:sz w:val="17"/>
              </w:rPr>
              <w:t>20 (40.0)</w:t>
            </w:r>
          </w:p>
        </w:tc>
        <w:tc>
          <w:tcPr>
            <w:tcW w:w="2102" w:type="dxa"/>
            <w:vAlign w:val="center"/>
          </w:tcPr>
          <w:p w14:paraId="0DD693D2" w14:textId="77777777" w:rsidR="00981D4A" w:rsidRDefault="00981D4A" w:rsidP="00B17A69">
            <w:pPr>
              <w:jc w:val="center"/>
            </w:pPr>
            <w:r>
              <w:rPr>
                <w:sz w:val="17"/>
              </w:rPr>
              <w:t>20 (40.0)</w:t>
            </w:r>
          </w:p>
        </w:tc>
        <w:tc>
          <w:tcPr>
            <w:tcW w:w="2102" w:type="dxa"/>
            <w:vAlign w:val="center"/>
          </w:tcPr>
          <w:p w14:paraId="7BF18F9D" w14:textId="77777777" w:rsidR="00981D4A" w:rsidRDefault="00981D4A" w:rsidP="00B17A69">
            <w:pPr>
              <w:jc w:val="center"/>
            </w:pPr>
            <w:r>
              <w:rPr>
                <w:sz w:val="17"/>
              </w:rPr>
              <w:t>40 (40.0)</w:t>
            </w:r>
          </w:p>
        </w:tc>
        <w:tc>
          <w:tcPr>
            <w:tcW w:w="2102" w:type="dxa"/>
            <w:vAlign w:val="center"/>
          </w:tcPr>
          <w:p w14:paraId="7D1F804E" w14:textId="77777777" w:rsidR="00981D4A" w:rsidRDefault="00981D4A" w:rsidP="00B17A69">
            <w:pPr>
              <w:jc w:val="center"/>
            </w:pPr>
            <w:r>
              <w:rPr>
                <w:sz w:val="17"/>
              </w:rPr>
              <w:t>1.00†</w:t>
            </w:r>
          </w:p>
        </w:tc>
      </w:tr>
      <w:tr w:rsidR="00981D4A" w14:paraId="401A0116" w14:textId="77777777" w:rsidTr="00B17A69">
        <w:trPr>
          <w:jc w:val="center"/>
        </w:trPr>
        <w:tc>
          <w:tcPr>
            <w:tcW w:w="2102" w:type="dxa"/>
            <w:vAlign w:val="center"/>
          </w:tcPr>
          <w:p w14:paraId="199510FD" w14:textId="77777777" w:rsidR="00981D4A" w:rsidRDefault="00981D4A" w:rsidP="00B17A69">
            <w:pPr>
              <w:jc w:val="center"/>
            </w:pPr>
            <w:r>
              <w:rPr>
                <w:sz w:val="17"/>
              </w:rPr>
              <w:t xml:space="preserve">  • &gt;6 years, n (%)</w:t>
            </w:r>
          </w:p>
        </w:tc>
        <w:tc>
          <w:tcPr>
            <w:tcW w:w="2102" w:type="dxa"/>
            <w:vAlign w:val="center"/>
          </w:tcPr>
          <w:p w14:paraId="06B98717" w14:textId="77777777" w:rsidR="00981D4A" w:rsidRDefault="00981D4A" w:rsidP="00B17A69">
            <w:pPr>
              <w:jc w:val="center"/>
            </w:pPr>
            <w:r>
              <w:rPr>
                <w:sz w:val="17"/>
              </w:rPr>
              <w:t>30 (60.0)</w:t>
            </w:r>
          </w:p>
        </w:tc>
        <w:tc>
          <w:tcPr>
            <w:tcW w:w="2102" w:type="dxa"/>
            <w:vAlign w:val="center"/>
          </w:tcPr>
          <w:p w14:paraId="16803448" w14:textId="77777777" w:rsidR="00981D4A" w:rsidRDefault="00981D4A" w:rsidP="00B17A69">
            <w:pPr>
              <w:jc w:val="center"/>
            </w:pPr>
            <w:r>
              <w:rPr>
                <w:sz w:val="17"/>
              </w:rPr>
              <w:t>30 (60.0)</w:t>
            </w:r>
          </w:p>
        </w:tc>
        <w:tc>
          <w:tcPr>
            <w:tcW w:w="2102" w:type="dxa"/>
            <w:vAlign w:val="center"/>
          </w:tcPr>
          <w:p w14:paraId="4F62671A" w14:textId="77777777" w:rsidR="00981D4A" w:rsidRDefault="00981D4A" w:rsidP="00B17A69">
            <w:pPr>
              <w:jc w:val="center"/>
            </w:pPr>
            <w:r>
              <w:rPr>
                <w:sz w:val="17"/>
              </w:rPr>
              <w:t>60 (60.0)</w:t>
            </w:r>
          </w:p>
        </w:tc>
        <w:tc>
          <w:tcPr>
            <w:tcW w:w="2102" w:type="dxa"/>
            <w:vAlign w:val="center"/>
          </w:tcPr>
          <w:p w14:paraId="0D1A2C16" w14:textId="77777777" w:rsidR="00981D4A" w:rsidRDefault="00981D4A" w:rsidP="00B17A69">
            <w:pPr>
              <w:jc w:val="center"/>
            </w:pPr>
          </w:p>
        </w:tc>
      </w:tr>
      <w:tr w:rsidR="00981D4A" w14:paraId="5F1A628C" w14:textId="77777777" w:rsidTr="00B17A69">
        <w:trPr>
          <w:jc w:val="center"/>
        </w:trPr>
        <w:tc>
          <w:tcPr>
            <w:tcW w:w="2102" w:type="dxa"/>
            <w:shd w:val="clear" w:color="auto" w:fill="D9EAF7"/>
            <w:vAlign w:val="center"/>
          </w:tcPr>
          <w:p w14:paraId="40A89291" w14:textId="77777777" w:rsidR="00981D4A" w:rsidRDefault="00981D4A" w:rsidP="00B17A69">
            <w:pPr>
              <w:jc w:val="center"/>
            </w:pPr>
            <w:r>
              <w:rPr>
                <w:b/>
                <w:sz w:val="17"/>
              </w:rPr>
              <w:t>BMI (kg/m²)</w:t>
            </w:r>
          </w:p>
        </w:tc>
        <w:tc>
          <w:tcPr>
            <w:tcW w:w="2102" w:type="dxa"/>
            <w:shd w:val="clear" w:color="auto" w:fill="D9EAF7"/>
            <w:vAlign w:val="center"/>
          </w:tcPr>
          <w:p w14:paraId="1E0B9BE5" w14:textId="77777777" w:rsidR="00981D4A" w:rsidRDefault="00981D4A" w:rsidP="00B17A69">
            <w:pPr>
              <w:jc w:val="center"/>
            </w:pPr>
          </w:p>
        </w:tc>
        <w:tc>
          <w:tcPr>
            <w:tcW w:w="2102" w:type="dxa"/>
            <w:shd w:val="clear" w:color="auto" w:fill="D9EAF7"/>
            <w:vAlign w:val="center"/>
          </w:tcPr>
          <w:p w14:paraId="3E686427" w14:textId="77777777" w:rsidR="00981D4A" w:rsidRDefault="00981D4A" w:rsidP="00B17A69">
            <w:pPr>
              <w:jc w:val="center"/>
            </w:pPr>
          </w:p>
        </w:tc>
        <w:tc>
          <w:tcPr>
            <w:tcW w:w="2102" w:type="dxa"/>
            <w:shd w:val="clear" w:color="auto" w:fill="D9EAF7"/>
            <w:vAlign w:val="center"/>
          </w:tcPr>
          <w:p w14:paraId="45D6FC57" w14:textId="77777777" w:rsidR="00981D4A" w:rsidRDefault="00981D4A" w:rsidP="00B17A69">
            <w:pPr>
              <w:jc w:val="center"/>
            </w:pPr>
          </w:p>
        </w:tc>
        <w:tc>
          <w:tcPr>
            <w:tcW w:w="2102" w:type="dxa"/>
            <w:shd w:val="clear" w:color="auto" w:fill="D9EAF7"/>
            <w:vAlign w:val="center"/>
          </w:tcPr>
          <w:p w14:paraId="639B7D14" w14:textId="77777777" w:rsidR="00981D4A" w:rsidRDefault="00981D4A" w:rsidP="00B17A69">
            <w:pPr>
              <w:jc w:val="center"/>
            </w:pPr>
          </w:p>
        </w:tc>
      </w:tr>
      <w:tr w:rsidR="00981D4A" w14:paraId="55396FC3" w14:textId="77777777" w:rsidTr="00B17A69">
        <w:trPr>
          <w:jc w:val="center"/>
        </w:trPr>
        <w:tc>
          <w:tcPr>
            <w:tcW w:w="2102" w:type="dxa"/>
            <w:vAlign w:val="center"/>
          </w:tcPr>
          <w:p w14:paraId="12437F7C" w14:textId="77777777" w:rsidR="00981D4A" w:rsidRDefault="00981D4A" w:rsidP="00B17A69">
            <w:pPr>
              <w:jc w:val="center"/>
            </w:pPr>
            <w:r>
              <w:rPr>
                <w:sz w:val="17"/>
              </w:rPr>
              <w:t xml:space="preserve">  Mean ± SD</w:t>
            </w:r>
          </w:p>
        </w:tc>
        <w:tc>
          <w:tcPr>
            <w:tcW w:w="2102" w:type="dxa"/>
            <w:vAlign w:val="center"/>
          </w:tcPr>
          <w:p w14:paraId="427E7DBB" w14:textId="77777777" w:rsidR="00981D4A" w:rsidRDefault="00981D4A" w:rsidP="00B17A69">
            <w:pPr>
              <w:jc w:val="center"/>
            </w:pPr>
            <w:r>
              <w:rPr>
                <w:sz w:val="17"/>
              </w:rPr>
              <w:t>26.08 ± 2.95</w:t>
            </w:r>
          </w:p>
        </w:tc>
        <w:tc>
          <w:tcPr>
            <w:tcW w:w="2102" w:type="dxa"/>
            <w:vAlign w:val="center"/>
          </w:tcPr>
          <w:p w14:paraId="09AA45EE" w14:textId="77777777" w:rsidR="00981D4A" w:rsidRDefault="00981D4A" w:rsidP="00B17A69">
            <w:pPr>
              <w:jc w:val="center"/>
            </w:pPr>
            <w:r>
              <w:rPr>
                <w:sz w:val="17"/>
              </w:rPr>
              <w:t>26.26 ± 3.26</w:t>
            </w:r>
          </w:p>
        </w:tc>
        <w:tc>
          <w:tcPr>
            <w:tcW w:w="2102" w:type="dxa"/>
            <w:vAlign w:val="center"/>
          </w:tcPr>
          <w:p w14:paraId="64496A84" w14:textId="77777777" w:rsidR="00981D4A" w:rsidRDefault="00981D4A" w:rsidP="00B17A69">
            <w:pPr>
              <w:jc w:val="center"/>
            </w:pPr>
            <w:r>
              <w:rPr>
                <w:sz w:val="17"/>
              </w:rPr>
              <w:t>26.13 ± 3.19</w:t>
            </w:r>
          </w:p>
        </w:tc>
        <w:tc>
          <w:tcPr>
            <w:tcW w:w="2102" w:type="dxa"/>
            <w:vAlign w:val="center"/>
          </w:tcPr>
          <w:p w14:paraId="6F88267D" w14:textId="77777777" w:rsidR="00981D4A" w:rsidRDefault="00981D4A" w:rsidP="00B17A69">
            <w:pPr>
              <w:jc w:val="center"/>
            </w:pPr>
            <w:r>
              <w:rPr>
                <w:sz w:val="17"/>
              </w:rPr>
              <w:t>0.77</w:t>
            </w:r>
          </w:p>
        </w:tc>
      </w:tr>
      <w:tr w:rsidR="00981D4A" w14:paraId="0AA7991B" w14:textId="77777777" w:rsidTr="00B17A69">
        <w:trPr>
          <w:jc w:val="center"/>
        </w:trPr>
        <w:tc>
          <w:tcPr>
            <w:tcW w:w="2102" w:type="dxa"/>
            <w:vAlign w:val="center"/>
          </w:tcPr>
          <w:p w14:paraId="17816A7A" w14:textId="77777777" w:rsidR="00981D4A" w:rsidRDefault="00981D4A" w:rsidP="00B17A69">
            <w:pPr>
              <w:jc w:val="center"/>
            </w:pPr>
            <w:r>
              <w:rPr>
                <w:sz w:val="17"/>
              </w:rPr>
              <w:t xml:space="preserve">  • ≤25 kg/m², n (%)</w:t>
            </w:r>
          </w:p>
        </w:tc>
        <w:tc>
          <w:tcPr>
            <w:tcW w:w="2102" w:type="dxa"/>
            <w:vAlign w:val="center"/>
          </w:tcPr>
          <w:p w14:paraId="5ADE8D9B" w14:textId="77777777" w:rsidR="00981D4A" w:rsidRDefault="00981D4A" w:rsidP="00B17A69">
            <w:pPr>
              <w:jc w:val="center"/>
            </w:pPr>
            <w:r>
              <w:rPr>
                <w:sz w:val="17"/>
              </w:rPr>
              <w:t>25 (50.0)</w:t>
            </w:r>
          </w:p>
        </w:tc>
        <w:tc>
          <w:tcPr>
            <w:tcW w:w="2102" w:type="dxa"/>
            <w:vAlign w:val="center"/>
          </w:tcPr>
          <w:p w14:paraId="26EB517F" w14:textId="77777777" w:rsidR="00981D4A" w:rsidRDefault="00981D4A" w:rsidP="00B17A69">
            <w:pPr>
              <w:jc w:val="center"/>
            </w:pPr>
            <w:r>
              <w:rPr>
                <w:sz w:val="17"/>
              </w:rPr>
              <w:t>27 (54.0)</w:t>
            </w:r>
          </w:p>
        </w:tc>
        <w:tc>
          <w:tcPr>
            <w:tcW w:w="2102" w:type="dxa"/>
            <w:vAlign w:val="center"/>
          </w:tcPr>
          <w:p w14:paraId="2CA234FA" w14:textId="77777777" w:rsidR="00981D4A" w:rsidRDefault="00981D4A" w:rsidP="00B17A69">
            <w:pPr>
              <w:jc w:val="center"/>
            </w:pPr>
            <w:r>
              <w:rPr>
                <w:sz w:val="17"/>
              </w:rPr>
              <w:t>52 (52.0)</w:t>
            </w:r>
          </w:p>
        </w:tc>
        <w:tc>
          <w:tcPr>
            <w:tcW w:w="2102" w:type="dxa"/>
            <w:vAlign w:val="center"/>
          </w:tcPr>
          <w:p w14:paraId="65D72B5E" w14:textId="77777777" w:rsidR="00981D4A" w:rsidRDefault="00981D4A" w:rsidP="00B17A69">
            <w:pPr>
              <w:jc w:val="center"/>
            </w:pPr>
            <w:r>
              <w:rPr>
                <w:sz w:val="17"/>
              </w:rPr>
              <w:t>0.67†</w:t>
            </w:r>
          </w:p>
        </w:tc>
      </w:tr>
      <w:tr w:rsidR="00981D4A" w14:paraId="27BFE3CE" w14:textId="77777777" w:rsidTr="00B17A69">
        <w:trPr>
          <w:jc w:val="center"/>
        </w:trPr>
        <w:tc>
          <w:tcPr>
            <w:tcW w:w="2102" w:type="dxa"/>
            <w:vAlign w:val="center"/>
          </w:tcPr>
          <w:p w14:paraId="5AA9601F" w14:textId="77777777" w:rsidR="00981D4A" w:rsidRDefault="00981D4A" w:rsidP="00B17A69">
            <w:pPr>
              <w:jc w:val="center"/>
            </w:pPr>
            <w:r>
              <w:rPr>
                <w:sz w:val="17"/>
              </w:rPr>
              <w:t xml:space="preserve">  • &gt;25 kg/m², n (%)</w:t>
            </w:r>
          </w:p>
        </w:tc>
        <w:tc>
          <w:tcPr>
            <w:tcW w:w="2102" w:type="dxa"/>
            <w:vAlign w:val="center"/>
          </w:tcPr>
          <w:p w14:paraId="2ED971C2" w14:textId="77777777" w:rsidR="00981D4A" w:rsidRDefault="00981D4A" w:rsidP="00B17A69">
            <w:pPr>
              <w:jc w:val="center"/>
            </w:pPr>
            <w:r>
              <w:rPr>
                <w:sz w:val="17"/>
              </w:rPr>
              <w:t>25 (60.0)</w:t>
            </w:r>
          </w:p>
        </w:tc>
        <w:tc>
          <w:tcPr>
            <w:tcW w:w="2102" w:type="dxa"/>
            <w:vAlign w:val="center"/>
          </w:tcPr>
          <w:p w14:paraId="66EDF9EA" w14:textId="77777777" w:rsidR="00981D4A" w:rsidRDefault="00981D4A" w:rsidP="00B17A69">
            <w:pPr>
              <w:jc w:val="center"/>
            </w:pPr>
            <w:r>
              <w:rPr>
                <w:sz w:val="17"/>
              </w:rPr>
              <w:t>23 (66.0)</w:t>
            </w:r>
          </w:p>
        </w:tc>
        <w:tc>
          <w:tcPr>
            <w:tcW w:w="2102" w:type="dxa"/>
            <w:vAlign w:val="center"/>
          </w:tcPr>
          <w:p w14:paraId="52996910" w14:textId="77777777" w:rsidR="00981D4A" w:rsidRDefault="00981D4A" w:rsidP="00B17A69">
            <w:pPr>
              <w:jc w:val="center"/>
            </w:pPr>
            <w:r>
              <w:rPr>
                <w:sz w:val="17"/>
              </w:rPr>
              <w:t>48 (48.0)</w:t>
            </w:r>
          </w:p>
        </w:tc>
        <w:tc>
          <w:tcPr>
            <w:tcW w:w="2102" w:type="dxa"/>
            <w:vAlign w:val="center"/>
          </w:tcPr>
          <w:p w14:paraId="62606998" w14:textId="77777777" w:rsidR="00981D4A" w:rsidRDefault="00981D4A" w:rsidP="00B17A69">
            <w:pPr>
              <w:jc w:val="center"/>
            </w:pPr>
          </w:p>
        </w:tc>
      </w:tr>
    </w:tbl>
    <w:p w14:paraId="07932BC8" w14:textId="169606B1" w:rsidR="00981D4A" w:rsidRPr="00981D4A" w:rsidRDefault="00981D4A" w:rsidP="00981D4A">
      <w:pPr>
        <w:jc w:val="both"/>
        <w:rPr>
          <w:rFonts w:ascii="Times New Roman" w:hAnsi="Times New Roman" w:cs="Times New Roman"/>
        </w:rPr>
      </w:pPr>
      <w:r w:rsidRPr="00981D4A">
        <w:rPr>
          <w:rFonts w:ascii="Times New Roman" w:hAnsi="Times New Roman" w:cs="Times New Roman"/>
          <w:b/>
          <w:sz w:val="17"/>
        </w:rPr>
        <w:t xml:space="preserve">Values are presented as mean ± standard deviation (SD) or number (%). * P-values compare baseline characteristics between groups. Student’s t-test for continuous variables; Chi-square test for categorical </w:t>
      </w:r>
      <w:proofErr w:type="gramStart"/>
      <w:r w:rsidRPr="00981D4A">
        <w:rPr>
          <w:rFonts w:ascii="Times New Roman" w:hAnsi="Times New Roman" w:cs="Times New Roman"/>
          <w:b/>
          <w:sz w:val="17"/>
        </w:rPr>
        <w:t>variables (†</w:t>
      </w:r>
      <w:proofErr w:type="gramEnd"/>
      <w:r w:rsidRPr="00981D4A">
        <w:rPr>
          <w:rFonts w:ascii="Times New Roman" w:hAnsi="Times New Roman" w:cs="Times New Roman"/>
          <w:b/>
          <w:sz w:val="17"/>
        </w:rPr>
        <w:t>)</w:t>
      </w:r>
      <w:r w:rsidRPr="00981D4A">
        <w:rPr>
          <w:rFonts w:ascii="Times New Roman" w:hAnsi="Times New Roman" w:cs="Times New Roman"/>
          <w:sz w:val="17"/>
        </w:rPr>
        <w:t>.</w:t>
      </w:r>
    </w:p>
    <w:p w14:paraId="3403583F" w14:textId="77777777" w:rsidR="00981D4A" w:rsidRPr="00981D4A" w:rsidRDefault="00981D4A" w:rsidP="00981D4A">
      <w:pPr>
        <w:rPr>
          <w:rFonts w:ascii="Times New Roman" w:hAnsi="Times New Roman" w:cs="Times New Roman"/>
        </w:rPr>
      </w:pPr>
      <w:r w:rsidRPr="00981D4A">
        <w:rPr>
          <w:rFonts w:ascii="Times New Roman" w:hAnsi="Times New Roman" w:cs="Times New Roman"/>
          <w:b/>
        </w:rPr>
        <w:t>Table II. Comparison of the efficacy of Dapagliflozin and Empagliflozin in terms of lowering proteinuria in type 2 Diabetes Mellitus.</w:t>
      </w:r>
    </w:p>
    <w:tbl>
      <w:tblPr>
        <w:tblStyle w:val="TableGrid"/>
        <w:tblW w:w="0" w:type="auto"/>
        <w:jc w:val="center"/>
        <w:tblLook w:val="04A0" w:firstRow="1" w:lastRow="0" w:firstColumn="1" w:lastColumn="0" w:noHBand="0" w:noVBand="1"/>
      </w:tblPr>
      <w:tblGrid>
        <w:gridCol w:w="1645"/>
        <w:gridCol w:w="1609"/>
        <w:gridCol w:w="1575"/>
        <w:gridCol w:w="1609"/>
        <w:gridCol w:w="1575"/>
        <w:gridCol w:w="1563"/>
      </w:tblGrid>
      <w:tr w:rsidR="00981D4A" w14:paraId="318CFBA0" w14:textId="77777777" w:rsidTr="00B17A69">
        <w:trPr>
          <w:jc w:val="center"/>
        </w:trPr>
        <w:tc>
          <w:tcPr>
            <w:tcW w:w="1752" w:type="dxa"/>
            <w:vMerge w:val="restart"/>
            <w:shd w:val="clear" w:color="auto" w:fill="D9EAF7"/>
            <w:vAlign w:val="center"/>
          </w:tcPr>
          <w:p w14:paraId="7F5D3263" w14:textId="77777777" w:rsidR="00981D4A" w:rsidRDefault="00981D4A" w:rsidP="00B17A69">
            <w:pPr>
              <w:jc w:val="center"/>
            </w:pPr>
          </w:p>
          <w:p w14:paraId="35630770" w14:textId="77777777" w:rsidR="00981D4A" w:rsidRDefault="00981D4A" w:rsidP="00B17A69">
            <w:pPr>
              <w:jc w:val="center"/>
            </w:pPr>
          </w:p>
        </w:tc>
        <w:tc>
          <w:tcPr>
            <w:tcW w:w="3504" w:type="dxa"/>
            <w:gridSpan w:val="2"/>
            <w:shd w:val="clear" w:color="auto" w:fill="D9EAF7"/>
            <w:vAlign w:val="center"/>
          </w:tcPr>
          <w:p w14:paraId="332116C0" w14:textId="77777777" w:rsidR="00981D4A" w:rsidRDefault="00981D4A" w:rsidP="00B17A69">
            <w:pPr>
              <w:jc w:val="center"/>
            </w:pPr>
            <w:r>
              <w:rPr>
                <w:b/>
                <w:sz w:val="18"/>
              </w:rPr>
              <w:t>Group A (n=50)</w:t>
            </w:r>
          </w:p>
          <w:p w14:paraId="17728D08" w14:textId="77777777" w:rsidR="00981D4A" w:rsidRDefault="00981D4A" w:rsidP="00B17A69">
            <w:pPr>
              <w:jc w:val="center"/>
            </w:pPr>
          </w:p>
        </w:tc>
        <w:tc>
          <w:tcPr>
            <w:tcW w:w="3504" w:type="dxa"/>
            <w:gridSpan w:val="2"/>
            <w:shd w:val="clear" w:color="auto" w:fill="D9EAF7"/>
            <w:vAlign w:val="center"/>
          </w:tcPr>
          <w:p w14:paraId="2099381C" w14:textId="77777777" w:rsidR="00981D4A" w:rsidRDefault="00981D4A" w:rsidP="00B17A69">
            <w:pPr>
              <w:jc w:val="center"/>
            </w:pPr>
            <w:r>
              <w:rPr>
                <w:b/>
                <w:sz w:val="18"/>
              </w:rPr>
              <w:t>Group B (n=50)</w:t>
            </w:r>
          </w:p>
          <w:p w14:paraId="310A5999" w14:textId="77777777" w:rsidR="00981D4A" w:rsidRDefault="00981D4A" w:rsidP="00B17A69">
            <w:pPr>
              <w:jc w:val="center"/>
            </w:pPr>
          </w:p>
        </w:tc>
        <w:tc>
          <w:tcPr>
            <w:tcW w:w="1752" w:type="dxa"/>
            <w:vMerge w:val="restart"/>
            <w:shd w:val="clear" w:color="auto" w:fill="D9EAF7"/>
            <w:vAlign w:val="center"/>
          </w:tcPr>
          <w:p w14:paraId="751C0ABC" w14:textId="77777777" w:rsidR="00981D4A" w:rsidRDefault="00981D4A" w:rsidP="00B17A69">
            <w:pPr>
              <w:jc w:val="center"/>
            </w:pPr>
          </w:p>
          <w:p w14:paraId="4FD4CB6D" w14:textId="77777777" w:rsidR="00981D4A" w:rsidRDefault="00981D4A" w:rsidP="00B17A69">
            <w:pPr>
              <w:jc w:val="center"/>
            </w:pPr>
          </w:p>
        </w:tc>
      </w:tr>
      <w:tr w:rsidR="00981D4A" w14:paraId="192198F5" w14:textId="77777777" w:rsidTr="00B17A69">
        <w:trPr>
          <w:jc w:val="center"/>
        </w:trPr>
        <w:tc>
          <w:tcPr>
            <w:tcW w:w="1752" w:type="dxa"/>
            <w:vMerge/>
            <w:shd w:val="clear" w:color="auto" w:fill="D9EAF7"/>
            <w:vAlign w:val="center"/>
          </w:tcPr>
          <w:p w14:paraId="089DF99A" w14:textId="77777777" w:rsidR="00981D4A" w:rsidRDefault="00981D4A" w:rsidP="00B17A69"/>
        </w:tc>
        <w:tc>
          <w:tcPr>
            <w:tcW w:w="1752" w:type="dxa"/>
            <w:shd w:val="clear" w:color="auto" w:fill="D9EAF7"/>
            <w:vAlign w:val="center"/>
          </w:tcPr>
          <w:p w14:paraId="2F7D3F92" w14:textId="77777777" w:rsidR="00981D4A" w:rsidRDefault="00981D4A" w:rsidP="00B17A69">
            <w:pPr>
              <w:jc w:val="center"/>
            </w:pPr>
            <w:r>
              <w:rPr>
                <w:b/>
                <w:sz w:val="18"/>
              </w:rPr>
              <w:t>No. of Patients</w:t>
            </w:r>
          </w:p>
        </w:tc>
        <w:tc>
          <w:tcPr>
            <w:tcW w:w="1752" w:type="dxa"/>
            <w:shd w:val="clear" w:color="auto" w:fill="D9EAF7"/>
            <w:vAlign w:val="center"/>
          </w:tcPr>
          <w:p w14:paraId="72FC8779" w14:textId="77777777" w:rsidR="00981D4A" w:rsidRDefault="00981D4A" w:rsidP="00B17A69">
            <w:pPr>
              <w:jc w:val="center"/>
            </w:pPr>
            <w:r>
              <w:rPr>
                <w:b/>
                <w:sz w:val="18"/>
              </w:rPr>
              <w:t>%age</w:t>
            </w:r>
          </w:p>
        </w:tc>
        <w:tc>
          <w:tcPr>
            <w:tcW w:w="1752" w:type="dxa"/>
            <w:shd w:val="clear" w:color="auto" w:fill="D9EAF7"/>
            <w:vAlign w:val="center"/>
          </w:tcPr>
          <w:p w14:paraId="5CE61914" w14:textId="77777777" w:rsidR="00981D4A" w:rsidRDefault="00981D4A" w:rsidP="00B17A69">
            <w:pPr>
              <w:jc w:val="center"/>
            </w:pPr>
            <w:r>
              <w:rPr>
                <w:b/>
                <w:sz w:val="18"/>
              </w:rPr>
              <w:t>No. of Patients</w:t>
            </w:r>
          </w:p>
        </w:tc>
        <w:tc>
          <w:tcPr>
            <w:tcW w:w="1752" w:type="dxa"/>
            <w:shd w:val="clear" w:color="auto" w:fill="D9EAF7"/>
            <w:vAlign w:val="center"/>
          </w:tcPr>
          <w:p w14:paraId="025CF24E" w14:textId="77777777" w:rsidR="00981D4A" w:rsidRDefault="00981D4A" w:rsidP="00B17A69">
            <w:pPr>
              <w:jc w:val="center"/>
            </w:pPr>
            <w:r>
              <w:rPr>
                <w:b/>
                <w:sz w:val="18"/>
              </w:rPr>
              <w:t>%age</w:t>
            </w:r>
          </w:p>
        </w:tc>
        <w:tc>
          <w:tcPr>
            <w:tcW w:w="1752" w:type="dxa"/>
            <w:vMerge/>
            <w:shd w:val="clear" w:color="auto" w:fill="D9EAF7"/>
            <w:vAlign w:val="center"/>
          </w:tcPr>
          <w:p w14:paraId="42C84C3D" w14:textId="77777777" w:rsidR="00981D4A" w:rsidRDefault="00981D4A" w:rsidP="00B17A69"/>
        </w:tc>
      </w:tr>
      <w:tr w:rsidR="00981D4A" w14:paraId="508F18BB" w14:textId="77777777" w:rsidTr="00B17A69">
        <w:trPr>
          <w:jc w:val="center"/>
        </w:trPr>
        <w:tc>
          <w:tcPr>
            <w:tcW w:w="1752" w:type="dxa"/>
            <w:vMerge w:val="restart"/>
            <w:vAlign w:val="center"/>
          </w:tcPr>
          <w:p w14:paraId="38F59C7C" w14:textId="77777777" w:rsidR="00981D4A" w:rsidRDefault="00981D4A" w:rsidP="00B17A69">
            <w:pPr>
              <w:jc w:val="center"/>
            </w:pPr>
            <w:r>
              <w:rPr>
                <w:b/>
                <w:sz w:val="18"/>
              </w:rPr>
              <w:t>EFFICIENCY</w:t>
            </w:r>
          </w:p>
          <w:p w14:paraId="418124B4" w14:textId="77777777" w:rsidR="00981D4A" w:rsidRDefault="00981D4A" w:rsidP="00B17A69">
            <w:pPr>
              <w:jc w:val="center"/>
            </w:pPr>
          </w:p>
        </w:tc>
        <w:tc>
          <w:tcPr>
            <w:tcW w:w="1752" w:type="dxa"/>
            <w:vAlign w:val="center"/>
          </w:tcPr>
          <w:p w14:paraId="1269D733" w14:textId="77777777" w:rsidR="00981D4A" w:rsidRDefault="00981D4A" w:rsidP="00B17A69">
            <w:pPr>
              <w:jc w:val="center"/>
            </w:pPr>
            <w:r>
              <w:rPr>
                <w:sz w:val="18"/>
              </w:rPr>
              <w:t>Yes</w:t>
            </w:r>
          </w:p>
        </w:tc>
        <w:tc>
          <w:tcPr>
            <w:tcW w:w="1752" w:type="dxa"/>
            <w:vAlign w:val="center"/>
          </w:tcPr>
          <w:p w14:paraId="01716FC9" w14:textId="77777777" w:rsidR="00981D4A" w:rsidRDefault="00981D4A" w:rsidP="00B17A69">
            <w:pPr>
              <w:jc w:val="center"/>
            </w:pPr>
            <w:r>
              <w:rPr>
                <w:sz w:val="18"/>
              </w:rPr>
              <w:t>46</w:t>
            </w:r>
          </w:p>
        </w:tc>
        <w:tc>
          <w:tcPr>
            <w:tcW w:w="1752" w:type="dxa"/>
            <w:vAlign w:val="center"/>
          </w:tcPr>
          <w:p w14:paraId="77DA2498" w14:textId="77777777" w:rsidR="00981D4A" w:rsidRDefault="00981D4A" w:rsidP="00B17A69">
            <w:pPr>
              <w:jc w:val="center"/>
            </w:pPr>
            <w:r>
              <w:rPr>
                <w:sz w:val="18"/>
              </w:rPr>
              <w:t>92.0</w:t>
            </w:r>
          </w:p>
        </w:tc>
        <w:tc>
          <w:tcPr>
            <w:tcW w:w="1752" w:type="dxa"/>
            <w:vAlign w:val="center"/>
          </w:tcPr>
          <w:p w14:paraId="06BACC5E" w14:textId="77777777" w:rsidR="00981D4A" w:rsidRDefault="00981D4A" w:rsidP="00B17A69">
            <w:pPr>
              <w:jc w:val="center"/>
            </w:pPr>
            <w:r>
              <w:rPr>
                <w:sz w:val="18"/>
              </w:rPr>
              <w:t>38</w:t>
            </w:r>
          </w:p>
        </w:tc>
        <w:tc>
          <w:tcPr>
            <w:tcW w:w="1752" w:type="dxa"/>
            <w:vAlign w:val="center"/>
          </w:tcPr>
          <w:p w14:paraId="473ED571" w14:textId="77777777" w:rsidR="00981D4A" w:rsidRDefault="00981D4A" w:rsidP="00B17A69">
            <w:pPr>
              <w:jc w:val="center"/>
            </w:pPr>
            <w:r>
              <w:rPr>
                <w:sz w:val="18"/>
              </w:rPr>
              <w:t>76.0</w:t>
            </w:r>
          </w:p>
        </w:tc>
      </w:tr>
      <w:tr w:rsidR="00981D4A" w14:paraId="749649B7" w14:textId="77777777" w:rsidTr="00B17A69">
        <w:trPr>
          <w:jc w:val="center"/>
        </w:trPr>
        <w:tc>
          <w:tcPr>
            <w:tcW w:w="1752" w:type="dxa"/>
            <w:vMerge/>
            <w:vAlign w:val="center"/>
          </w:tcPr>
          <w:p w14:paraId="1CB49F1E" w14:textId="77777777" w:rsidR="00981D4A" w:rsidRDefault="00981D4A" w:rsidP="00B17A69"/>
        </w:tc>
        <w:tc>
          <w:tcPr>
            <w:tcW w:w="1752" w:type="dxa"/>
            <w:vAlign w:val="center"/>
          </w:tcPr>
          <w:p w14:paraId="58490BED" w14:textId="77777777" w:rsidR="00981D4A" w:rsidRDefault="00981D4A" w:rsidP="00B17A69">
            <w:pPr>
              <w:jc w:val="center"/>
            </w:pPr>
            <w:r>
              <w:rPr>
                <w:sz w:val="18"/>
              </w:rPr>
              <w:t>No</w:t>
            </w:r>
          </w:p>
        </w:tc>
        <w:tc>
          <w:tcPr>
            <w:tcW w:w="1752" w:type="dxa"/>
            <w:vAlign w:val="center"/>
          </w:tcPr>
          <w:p w14:paraId="055B6EA0" w14:textId="77777777" w:rsidR="00981D4A" w:rsidRDefault="00981D4A" w:rsidP="00B17A69">
            <w:pPr>
              <w:jc w:val="center"/>
            </w:pPr>
            <w:r>
              <w:rPr>
                <w:sz w:val="18"/>
              </w:rPr>
              <w:t>04</w:t>
            </w:r>
          </w:p>
        </w:tc>
        <w:tc>
          <w:tcPr>
            <w:tcW w:w="1752" w:type="dxa"/>
            <w:vAlign w:val="center"/>
          </w:tcPr>
          <w:p w14:paraId="1FAF9657" w14:textId="77777777" w:rsidR="00981D4A" w:rsidRDefault="00981D4A" w:rsidP="00B17A69">
            <w:pPr>
              <w:jc w:val="center"/>
            </w:pPr>
            <w:r>
              <w:rPr>
                <w:sz w:val="18"/>
              </w:rPr>
              <w:t>8.0</w:t>
            </w:r>
          </w:p>
        </w:tc>
        <w:tc>
          <w:tcPr>
            <w:tcW w:w="1752" w:type="dxa"/>
            <w:vAlign w:val="center"/>
          </w:tcPr>
          <w:p w14:paraId="2E275382" w14:textId="77777777" w:rsidR="00981D4A" w:rsidRDefault="00981D4A" w:rsidP="00B17A69">
            <w:pPr>
              <w:jc w:val="center"/>
            </w:pPr>
            <w:r>
              <w:rPr>
                <w:sz w:val="18"/>
              </w:rPr>
              <w:t>12</w:t>
            </w:r>
          </w:p>
        </w:tc>
        <w:tc>
          <w:tcPr>
            <w:tcW w:w="1752" w:type="dxa"/>
            <w:vAlign w:val="center"/>
          </w:tcPr>
          <w:p w14:paraId="35BB7C24" w14:textId="77777777" w:rsidR="00981D4A" w:rsidRDefault="00981D4A" w:rsidP="00B17A69">
            <w:pPr>
              <w:jc w:val="center"/>
            </w:pPr>
            <w:r>
              <w:rPr>
                <w:sz w:val="18"/>
              </w:rPr>
              <w:t>24.0</w:t>
            </w:r>
          </w:p>
        </w:tc>
      </w:tr>
    </w:tbl>
    <w:p w14:paraId="0D06C095" w14:textId="4496ED1D" w:rsidR="00C04784" w:rsidRPr="005E7C0F" w:rsidRDefault="00981D4A" w:rsidP="006C2731">
      <w:pPr>
        <w:spacing w:after="0" w:line="240" w:lineRule="auto"/>
        <w:jc w:val="both"/>
        <w:rPr>
          <w:rFonts w:ascii="Times New Roman" w:eastAsia="Times New Roman" w:hAnsi="Times New Roman" w:cs="Times New Roman"/>
          <w:noProof/>
        </w:rPr>
      </w:pPr>
      <w:r>
        <w:rPr>
          <w:b/>
          <w:sz w:val="18"/>
        </w:rPr>
        <w:t>P-value = 0.0291 which is statistically significant.</w:t>
      </w:r>
    </w:p>
    <w:p w14:paraId="5716BF23" w14:textId="21DF7475" w:rsidR="00C04784" w:rsidRPr="005E7C0F" w:rsidRDefault="00C04784" w:rsidP="006C2731">
      <w:pPr>
        <w:spacing w:after="0" w:line="240" w:lineRule="auto"/>
        <w:jc w:val="both"/>
        <w:rPr>
          <w:rFonts w:ascii="Times New Roman" w:eastAsia="Times New Roman" w:hAnsi="Times New Roman" w:cs="Times New Roman"/>
          <w:noProof/>
        </w:rPr>
      </w:pPr>
    </w:p>
    <w:p w14:paraId="1EAF8599"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4EA4F6ED" w14:textId="77777777" w:rsidR="009A22B3" w:rsidRPr="005E7C0F" w:rsidRDefault="009A22B3" w:rsidP="006C2731">
      <w:pPr>
        <w:spacing w:after="0" w:line="240" w:lineRule="auto"/>
        <w:jc w:val="both"/>
        <w:rPr>
          <w:rFonts w:ascii="Times New Roman" w:hAnsi="Times New Roman" w:cs="Times New Roman"/>
          <w:b/>
          <w:bCs/>
        </w:rPr>
      </w:pPr>
    </w:p>
    <w:p w14:paraId="29A1D2B7" w14:textId="77777777" w:rsidR="009A22B3" w:rsidRPr="005E7C0F" w:rsidRDefault="009A22B3" w:rsidP="006C2731">
      <w:pPr>
        <w:spacing w:after="0" w:line="240" w:lineRule="auto"/>
        <w:jc w:val="both"/>
        <w:rPr>
          <w:rFonts w:ascii="Times New Roman" w:hAnsi="Times New Roman" w:cs="Times New Roman"/>
          <w:b/>
          <w:bCs/>
        </w:rPr>
      </w:pPr>
    </w:p>
    <w:p w14:paraId="493F0B13" w14:textId="77777777" w:rsidR="009A22B3" w:rsidRPr="005E7C0F" w:rsidRDefault="009A22B3" w:rsidP="006C2731">
      <w:pPr>
        <w:spacing w:after="0" w:line="240" w:lineRule="auto"/>
        <w:jc w:val="both"/>
        <w:rPr>
          <w:rFonts w:ascii="Times New Roman" w:hAnsi="Times New Roman" w:cs="Times New Roman"/>
          <w:b/>
          <w:bCs/>
        </w:rPr>
      </w:pPr>
    </w:p>
    <w:p w14:paraId="1298A4EF" w14:textId="395215A0" w:rsidR="00D9373C" w:rsidRPr="005E7C0F" w:rsidRDefault="000F69FA" w:rsidP="006C2731">
      <w:pPr>
        <w:spacing w:after="0" w:line="240" w:lineRule="auto"/>
        <w:jc w:val="both"/>
        <w:rPr>
          <w:rFonts w:ascii="Times New Roman" w:hAnsi="Times New Roman" w:cs="Times New Roman"/>
          <w:b/>
          <w:bCs/>
        </w:rPr>
      </w:pPr>
      <w:r w:rsidRPr="005E7C0F">
        <w:rPr>
          <w:rFonts w:ascii="Times New Roman" w:hAnsi="Times New Roman" w:cs="Times New Roman"/>
          <w:b/>
          <w:bCs/>
        </w:rPr>
        <w:t>Discussion</w:t>
      </w:r>
      <w:r w:rsidR="00D9373C" w:rsidRPr="005E7C0F">
        <w:rPr>
          <w:rFonts w:ascii="Times New Roman" w:hAnsi="Times New Roman" w:cs="Times New Roman"/>
          <w:b/>
          <w:bCs/>
        </w:rPr>
        <w:t xml:space="preserve"> </w:t>
      </w:r>
    </w:p>
    <w:p w14:paraId="04FC0DD0" w14:textId="77777777"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The present randomized controlled trial compared the efficacy of empagliflozin and dapagliflozin in reducing proteinuria among patients with type 2 diabetes mellitus. Baseline demographic and clinical characteristics, including age, sex, duration of diabetes, and body mass index, were comparable between the two treatment groups, thereby minimizing the likelihood that baseline differences influenced the observed treatment outcomes.</w:t>
      </w:r>
    </w:p>
    <w:p w14:paraId="54AAA5C0" w14:textId="77777777"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The principal finding of this study was that empagliflozin demonstrated significantly greater efficacy than dapagliflozin in reducing proteinuria after 12 weeks of treatment. Clinical efficacy, defined as a ≥30% reduction in 24-hour urinary protein excretion, was achieved in 92.0% of patients receiving empagliflozin compared with 76.0% of those receiving dapagliflozin (p = 0.029). These findings suggest that although both SGLT2 inhibitors are effective in reducing proteinuria, empagliflozin may provide greater short-term antiproteinuric benefit in patients with T2DM.</w:t>
      </w:r>
    </w:p>
    <w:p w14:paraId="31A591A4" w14:textId="77777777"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The </w:t>
      </w:r>
      <w:proofErr w:type="spellStart"/>
      <w:r w:rsidRPr="005E7C0F">
        <w:rPr>
          <w:rFonts w:ascii="Times New Roman" w:hAnsi="Times New Roman" w:cs="Times New Roman"/>
        </w:rPr>
        <w:t>renoprotective</w:t>
      </w:r>
      <w:proofErr w:type="spellEnd"/>
      <w:r w:rsidRPr="005E7C0F">
        <w:rPr>
          <w:rFonts w:ascii="Times New Roman" w:hAnsi="Times New Roman" w:cs="Times New Roman"/>
        </w:rPr>
        <w:t xml:space="preserve"> effects of SGLT2 inhibitors have been consistently demonstrated in large </w:t>
      </w:r>
      <w:proofErr w:type="spellStart"/>
      <w:r w:rsidRPr="005E7C0F">
        <w:rPr>
          <w:rFonts w:ascii="Times New Roman" w:hAnsi="Times New Roman" w:cs="Times New Roman"/>
        </w:rPr>
        <w:t>multicentre</w:t>
      </w:r>
      <w:proofErr w:type="spellEnd"/>
      <w:r w:rsidRPr="005E7C0F">
        <w:rPr>
          <w:rFonts w:ascii="Times New Roman" w:hAnsi="Times New Roman" w:cs="Times New Roman"/>
        </w:rPr>
        <w:t xml:space="preserve"> randomized controlled trials. The EMPA-REG OUTCOME trial first established that empagliflozin significantly reduced progression to macroalbuminuria, slowed deterioration of renal function, and decreased clinically relevant renal outcomes in patients with T2DM and established cardiovascular disease.¹³ Subsequently, the DAPA-CKD trial demonstrated that dapagliflozin significantly reduced the risk of sustained decline in estimated glomerular filtration rate (eGFR), end-stage kidney disease, and renal or cardiovascular death in patients with chronic kidney disease, regardless of diabetes status.¹⁶ More recently, the EMPA-KIDNEY trial confirmed that empagliflozin reduced the risk of kidney disease progression or cardiovascular death across a broad spectrum of patients with chronic kidney disease.²² Although these landmark trials were placebo-controlled and were not designed as direct head-to-head comparisons between SGLT2 inhibitors, they provide robust evidence supporting the </w:t>
      </w:r>
      <w:proofErr w:type="spellStart"/>
      <w:r w:rsidRPr="005E7C0F">
        <w:rPr>
          <w:rFonts w:ascii="Times New Roman" w:hAnsi="Times New Roman" w:cs="Times New Roman"/>
        </w:rPr>
        <w:t>renoprotective</w:t>
      </w:r>
      <w:proofErr w:type="spellEnd"/>
      <w:r w:rsidRPr="005E7C0F">
        <w:rPr>
          <w:rFonts w:ascii="Times New Roman" w:hAnsi="Times New Roman" w:cs="Times New Roman"/>
        </w:rPr>
        <w:t xml:space="preserve"> effects of this therapeutic class.</w:t>
      </w:r>
    </w:p>
    <w:p w14:paraId="37D100B8" w14:textId="795E86BF"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The greater reduction in proteinuria observed with empagliflozin in our study is consistent with the renal benefits reported in the EMPA-REG OUTCOME trial, where empagliflozin reduced progression of albuminuria and delaye</w:t>
      </w:r>
      <w:r w:rsidR="00A66394">
        <w:rPr>
          <w:rFonts w:ascii="Times New Roman" w:hAnsi="Times New Roman" w:cs="Times New Roman"/>
        </w:rPr>
        <w:t>d worsening of kidney function.</w:t>
      </w:r>
      <w:r w:rsidR="00A66394" w:rsidRPr="00A66394">
        <w:rPr>
          <w:rFonts w:ascii="Times New Roman" w:hAnsi="Times New Roman" w:cs="Times New Roman"/>
          <w:vertAlign w:val="superscript"/>
        </w:rPr>
        <w:t>11</w:t>
      </w:r>
      <w:r w:rsidRPr="005E7C0F">
        <w:rPr>
          <w:rFonts w:ascii="Times New Roman" w:hAnsi="Times New Roman" w:cs="Times New Roman"/>
        </w:rPr>
        <w:t xml:space="preserve"> Our findings also complement those of the DAPA-CKD trial, confirming that both empagliflozin and dapagliflozin exert clinically meaningful antiproteinuric effects.</w:t>
      </w:r>
      <w:r w:rsidR="00A66394" w:rsidRPr="00A66394">
        <w:rPr>
          <w:rFonts w:ascii="Times New Roman" w:hAnsi="Times New Roman" w:cs="Times New Roman"/>
          <w:vertAlign w:val="superscript"/>
        </w:rPr>
        <w:t>12</w:t>
      </w:r>
      <w:r w:rsidRPr="005E7C0F">
        <w:rPr>
          <w:rFonts w:ascii="Times New Roman" w:hAnsi="Times New Roman" w:cs="Times New Roman"/>
        </w:rPr>
        <w:t xml:space="preserve"> However, unlike those large </w:t>
      </w:r>
      <w:proofErr w:type="spellStart"/>
      <w:r w:rsidRPr="005E7C0F">
        <w:rPr>
          <w:rFonts w:ascii="Times New Roman" w:hAnsi="Times New Roman" w:cs="Times New Roman"/>
        </w:rPr>
        <w:t>multicentre</w:t>
      </w:r>
      <w:proofErr w:type="spellEnd"/>
      <w:r w:rsidRPr="005E7C0F">
        <w:rPr>
          <w:rFonts w:ascii="Times New Roman" w:hAnsi="Times New Roman" w:cs="Times New Roman"/>
        </w:rPr>
        <w:t xml:space="preserve"> studies, the present trial directly compared the two agents, thereby providing comparative evidence regarding their relative efficacy in reducing proteinuria.</w:t>
      </w:r>
    </w:p>
    <w:p w14:paraId="681558E6" w14:textId="6F7E95C9"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Evidence from Asian populations also supports the </w:t>
      </w:r>
      <w:proofErr w:type="spellStart"/>
      <w:r w:rsidRPr="005E7C0F">
        <w:rPr>
          <w:rFonts w:ascii="Times New Roman" w:hAnsi="Times New Roman" w:cs="Times New Roman"/>
        </w:rPr>
        <w:t>renoprotective</w:t>
      </w:r>
      <w:proofErr w:type="spellEnd"/>
      <w:r w:rsidRPr="005E7C0F">
        <w:rPr>
          <w:rFonts w:ascii="Times New Roman" w:hAnsi="Times New Roman" w:cs="Times New Roman"/>
        </w:rPr>
        <w:t xml:space="preserve"> role of SGLT2 inhibitors. The Y-AIDA study conducted in Japanese patients with diabetic kidney disease demonstrated that dapagliflozin significantly reduced albuminuria while improving blood pressure</w:t>
      </w:r>
      <w:r w:rsidR="001D5DDC" w:rsidRPr="005E7C0F">
        <w:rPr>
          <w:rFonts w:ascii="Times New Roman" w:hAnsi="Times New Roman" w:cs="Times New Roman"/>
        </w:rPr>
        <w:t xml:space="preserve"> and other renal risk </w:t>
      </w:r>
      <w:proofErr w:type="gramStart"/>
      <w:r w:rsidR="001D5DDC" w:rsidRPr="005E7C0F">
        <w:rPr>
          <w:rFonts w:ascii="Times New Roman" w:hAnsi="Times New Roman" w:cs="Times New Roman"/>
        </w:rPr>
        <w:t>markers.⁶</w:t>
      </w:r>
      <w:proofErr w:type="gramEnd"/>
      <w:r w:rsidR="00A0492D" w:rsidRPr="005E7C0F">
        <w:rPr>
          <w:rFonts w:ascii="Times New Roman" w:hAnsi="Times New Roman" w:cs="Times New Roman"/>
        </w:rPr>
        <w:t xml:space="preserve"> </w:t>
      </w:r>
      <w:proofErr w:type="spellStart"/>
      <w:r w:rsidR="001D5DDC" w:rsidRPr="005E7C0F">
        <w:rPr>
          <w:rFonts w:ascii="Times New Roman" w:hAnsi="Times New Roman" w:cs="Times New Roman"/>
        </w:rPr>
        <w:t>Tthese</w:t>
      </w:r>
      <w:proofErr w:type="spellEnd"/>
      <w:r w:rsidRPr="005E7C0F">
        <w:rPr>
          <w:rFonts w:ascii="Times New Roman" w:hAnsi="Times New Roman" w:cs="Times New Roman"/>
        </w:rPr>
        <w:t xml:space="preserve"> findings suggest that the beneficial renal effects of SGLT2 inhibitors are reproducible across different ethnic populations, although the magnitude of benefit may vary according to patient characteristics and study design.</w:t>
      </w:r>
    </w:p>
    <w:p w14:paraId="16006964" w14:textId="322F3765"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Our findings are further supported by emerging evidence from Pakistan. A single-blind interventional study conducted at the Department of Nephrology, Combined Military Hospital (CMH), Quetta, demonstrated that empagliflozin significantly reduced proteinuria compared with placebo in patients with T2DM.</w:t>
      </w:r>
      <w:r w:rsidR="00A66394" w:rsidRPr="00A66394">
        <w:rPr>
          <w:rFonts w:ascii="Times New Roman" w:hAnsi="Times New Roman" w:cs="Times New Roman"/>
          <w:vertAlign w:val="superscript"/>
        </w:rPr>
        <w:t>13</w:t>
      </w:r>
      <w:r w:rsidRPr="005E7C0F">
        <w:rPr>
          <w:rFonts w:ascii="Times New Roman" w:hAnsi="Times New Roman" w:cs="Times New Roman"/>
        </w:rPr>
        <w:t xml:space="preserve"> Unlike the CMH study, which compared empagliflozin with placebo, the present trial directly compared empagliflozin with dapagliflozin. The superior antiproteinuric efficacy observed with empagliflozin in our cohort therefore provides clinically relevant comparative data from the local population. Nevertheless, confirmation through larger </w:t>
      </w:r>
      <w:proofErr w:type="spellStart"/>
      <w:r w:rsidRPr="005E7C0F">
        <w:rPr>
          <w:rFonts w:ascii="Times New Roman" w:hAnsi="Times New Roman" w:cs="Times New Roman"/>
        </w:rPr>
        <w:t>multicentre</w:t>
      </w:r>
      <w:proofErr w:type="spellEnd"/>
      <w:r w:rsidRPr="005E7C0F">
        <w:rPr>
          <w:rFonts w:ascii="Times New Roman" w:hAnsi="Times New Roman" w:cs="Times New Roman"/>
        </w:rPr>
        <w:t xml:space="preserve"> studies is required before definitive conclusions regarding superiority can be drawn.</w:t>
      </w:r>
    </w:p>
    <w:p w14:paraId="28D7E225" w14:textId="6BD073E3"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The mechanism underlying the greater antiproteinuric effect observed with empagliflozin remains uncertain. Both empagliflozin and dapagliflozin inhibit the sodium–glucose cotransporter-2 in the proximal renal tubule, restoring </w:t>
      </w:r>
      <w:proofErr w:type="spellStart"/>
      <w:r w:rsidRPr="005E7C0F">
        <w:rPr>
          <w:rFonts w:ascii="Times New Roman" w:hAnsi="Times New Roman" w:cs="Times New Roman"/>
        </w:rPr>
        <w:t>tubuloglomerular</w:t>
      </w:r>
      <w:proofErr w:type="spellEnd"/>
      <w:r w:rsidRPr="005E7C0F">
        <w:rPr>
          <w:rFonts w:ascii="Times New Roman" w:hAnsi="Times New Roman" w:cs="Times New Roman"/>
        </w:rPr>
        <w:t xml:space="preserve"> feedback, reducing intraglomerular pressure, and decreasing urinary protein </w:t>
      </w:r>
      <w:proofErr w:type="gramStart"/>
      <w:r w:rsidRPr="005E7C0F">
        <w:rPr>
          <w:rFonts w:ascii="Times New Roman" w:hAnsi="Times New Roman" w:cs="Times New Roman"/>
        </w:rPr>
        <w:t>excretion.⁴</w:t>
      </w:r>
      <w:proofErr w:type="gramEnd"/>
      <w:r w:rsidRPr="005E7C0F">
        <w:rPr>
          <w:rFonts w:ascii="Times New Roman" w:hAnsi="Times New Roman" w:cs="Times New Roman"/>
        </w:rPr>
        <w:t xml:space="preserve">˒⁹ Minor differences in pharmacodynamic characteristics, patient-related factors, or baseline renal physiology may have contributed to the differences observed in our </w:t>
      </w:r>
      <w:r w:rsidRPr="005E7C0F">
        <w:rPr>
          <w:rFonts w:ascii="Times New Roman" w:hAnsi="Times New Roman" w:cs="Times New Roman"/>
        </w:rPr>
        <w:lastRenderedPageBreak/>
        <w:t>study. However, the present trial was not designed to investigate mechanistic differences between the two drugs, and therefore these findings should be interpreted cautiously.</w:t>
      </w:r>
    </w:p>
    <w:p w14:paraId="7D0B5D7C" w14:textId="586CF26F"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The present study has several limitations. First, it was conducted at a single tertiary care </w:t>
      </w:r>
      <w:proofErr w:type="spellStart"/>
      <w:r w:rsidRPr="005E7C0F">
        <w:rPr>
          <w:rFonts w:ascii="Times New Roman" w:hAnsi="Times New Roman" w:cs="Times New Roman"/>
        </w:rPr>
        <w:t>centre</w:t>
      </w:r>
      <w:proofErr w:type="spellEnd"/>
      <w:r w:rsidRPr="005E7C0F">
        <w:rPr>
          <w:rFonts w:ascii="Times New Roman" w:hAnsi="Times New Roman" w:cs="Times New Roman"/>
        </w:rPr>
        <w:t>, which may limit the generalizability of the findings. Second, the sample size was relatively small (100 participants), reducing the statistical power to detect smaller treatment differences. Third, the follow-up period was limited to 12 weeks, precluding assessment of long-term renal outcomes. Finally, the primary endpoint was reduction in proteinuria rather than hard renal endpoints such as sustained decline in eGFR, initiation of kidney replacement therapy, end-stage kidney disease, or cardiovascular mortality.</w:t>
      </w:r>
      <w:r w:rsidR="00A66394" w:rsidRPr="00A66394">
        <w:rPr>
          <w:rFonts w:ascii="Times New Roman" w:hAnsi="Times New Roman" w:cs="Times New Roman"/>
          <w:vertAlign w:val="superscript"/>
        </w:rPr>
        <w:t>14</w:t>
      </w:r>
      <w:r w:rsidRPr="005E7C0F">
        <w:rPr>
          <w:rFonts w:ascii="Times New Roman" w:hAnsi="Times New Roman" w:cs="Times New Roman"/>
        </w:rPr>
        <w:t xml:space="preserve"> Future </w:t>
      </w:r>
      <w:r w:rsidR="00A0492D" w:rsidRPr="005E7C0F">
        <w:rPr>
          <w:rFonts w:ascii="Times New Roman" w:hAnsi="Times New Roman" w:cs="Times New Roman"/>
        </w:rPr>
        <w:t>multicenter</w:t>
      </w:r>
      <w:r w:rsidRPr="005E7C0F">
        <w:rPr>
          <w:rFonts w:ascii="Times New Roman" w:hAnsi="Times New Roman" w:cs="Times New Roman"/>
        </w:rPr>
        <w:t xml:space="preserve"> randomized controlled trials with larger sample sizes and longer follow-up are warranted to determine whether the greater reduction in proteinuria observed with empagliflozin translates into superior long-term renal outcomes.</w:t>
      </w:r>
    </w:p>
    <w:p w14:paraId="380E5928" w14:textId="77777777" w:rsidR="00D9373C" w:rsidRPr="005E7C0F" w:rsidRDefault="00D9373C" w:rsidP="006C2731">
      <w:pPr>
        <w:spacing w:after="0" w:line="240" w:lineRule="auto"/>
        <w:jc w:val="both"/>
        <w:rPr>
          <w:rFonts w:ascii="Times New Roman" w:hAnsi="Times New Roman" w:cs="Times New Roman"/>
        </w:rPr>
      </w:pPr>
      <w:r w:rsidRPr="005E7C0F">
        <w:rPr>
          <w:rFonts w:ascii="Times New Roman" w:hAnsi="Times New Roman" w:cs="Times New Roman"/>
        </w:rPr>
        <w:t xml:space="preserve">Overall, the findings of the present study reinforce the established </w:t>
      </w:r>
      <w:proofErr w:type="spellStart"/>
      <w:r w:rsidRPr="005E7C0F">
        <w:rPr>
          <w:rFonts w:ascii="Times New Roman" w:hAnsi="Times New Roman" w:cs="Times New Roman"/>
        </w:rPr>
        <w:t>renoprotective</w:t>
      </w:r>
      <w:proofErr w:type="spellEnd"/>
      <w:r w:rsidRPr="005E7C0F">
        <w:rPr>
          <w:rFonts w:ascii="Times New Roman" w:hAnsi="Times New Roman" w:cs="Times New Roman"/>
        </w:rPr>
        <w:t xml:space="preserve"> role of SGLT2 inhibitors in patients with T2DM. Both empagliflozin and dapagliflozin significantly reduced proteinuria; however, empagliflozin demonstrated superior short-term antiproteinuric efficacy in this study population. These findings provide valuable local evidence and may assist clinicians in selecting appropriate SGLT2 inhibitor therapy for patients with diabetic kidney disease while highlighting the need for larger comparative trials.</w:t>
      </w:r>
    </w:p>
    <w:p w14:paraId="64D82EF3" w14:textId="77777777" w:rsidR="00354520" w:rsidRPr="005E7C0F" w:rsidRDefault="00354520" w:rsidP="006C2731">
      <w:pPr>
        <w:spacing w:after="0" w:line="240" w:lineRule="auto"/>
        <w:jc w:val="both"/>
        <w:rPr>
          <w:rFonts w:ascii="Times New Roman" w:hAnsi="Times New Roman" w:cs="Times New Roman"/>
          <w:b/>
          <w:bCs/>
        </w:rPr>
      </w:pPr>
    </w:p>
    <w:p w14:paraId="6AD747FC" w14:textId="10CDA00A" w:rsidR="00D9373C" w:rsidRPr="005E7C0F" w:rsidRDefault="000F69FA" w:rsidP="006C2731">
      <w:pPr>
        <w:spacing w:after="0" w:line="240" w:lineRule="auto"/>
        <w:jc w:val="both"/>
        <w:rPr>
          <w:rFonts w:ascii="Times New Roman" w:hAnsi="Times New Roman" w:cs="Times New Roman"/>
        </w:rPr>
      </w:pPr>
      <w:r w:rsidRPr="005E7C0F">
        <w:rPr>
          <w:rFonts w:ascii="Times New Roman" w:hAnsi="Times New Roman" w:cs="Times New Roman"/>
          <w:b/>
          <w:bCs/>
        </w:rPr>
        <w:t>Conclusion</w:t>
      </w:r>
      <w:r>
        <w:rPr>
          <w:rFonts w:ascii="Times New Roman" w:hAnsi="Times New Roman" w:cs="Times New Roman"/>
          <w:b/>
          <w:bCs/>
        </w:rPr>
        <w:t>:</w:t>
      </w:r>
      <w:r w:rsidR="00D9373C" w:rsidRPr="005E7C0F">
        <w:rPr>
          <w:rFonts w:ascii="Times New Roman" w:hAnsi="Times New Roman" w:cs="Times New Roman"/>
          <w:b/>
          <w:bCs/>
        </w:rPr>
        <w:t xml:space="preserve"> </w:t>
      </w:r>
      <w:r w:rsidR="00D9373C" w:rsidRPr="005E7C0F">
        <w:rPr>
          <w:rFonts w:ascii="Times New Roman" w:hAnsi="Times New Roman" w:cs="Times New Roman"/>
        </w:rPr>
        <w:t xml:space="preserve">Empagliflozin and dapagliflozin both significantly reduced proteinuria in patients with type 2 diabetes mellitus. However, empagliflozin demonstrated significantly greater short-term antiproteinuric efficacy than dapagliflozin after 12 weeks of treatment. These findings suggest that empagliflozin may be a preferred SGLT2 inhibitor for reducing proteinuria in appropriately selected patients with diabetic kidney disease. Nevertheless, larger </w:t>
      </w:r>
      <w:r w:rsidR="00A0492D" w:rsidRPr="005E7C0F">
        <w:rPr>
          <w:rFonts w:ascii="Times New Roman" w:hAnsi="Times New Roman" w:cs="Times New Roman"/>
        </w:rPr>
        <w:t>multicenter</w:t>
      </w:r>
      <w:r w:rsidR="00D9373C" w:rsidRPr="005E7C0F">
        <w:rPr>
          <w:rFonts w:ascii="Times New Roman" w:hAnsi="Times New Roman" w:cs="Times New Roman"/>
        </w:rPr>
        <w:t xml:space="preserve"> randomized controlled trials with longer follow-up are required to determine whether this greater reduction in proteinuria translates into superior long-term renal and cardiovascular outcomes.</w:t>
      </w:r>
    </w:p>
    <w:p w14:paraId="56F4EDB1" w14:textId="77777777" w:rsidR="000F69FA" w:rsidRDefault="000F69FA" w:rsidP="000F69FA">
      <w:pPr>
        <w:spacing w:after="0"/>
        <w:rPr>
          <w:rFonts w:ascii="Times New Roman" w:hAnsi="Times New Roman" w:cs="Times New Roman"/>
          <w:b/>
          <w:bCs/>
        </w:rPr>
      </w:pPr>
    </w:p>
    <w:p w14:paraId="3AACF004" w14:textId="60374FFC" w:rsidR="000F69FA" w:rsidRPr="00B25306" w:rsidRDefault="000F69FA" w:rsidP="000F69FA">
      <w:pPr>
        <w:spacing w:after="0"/>
        <w:rPr>
          <w:rFonts w:ascii="Times New Roman" w:hAnsi="Times New Roman" w:cs="Times New Roman"/>
        </w:rPr>
      </w:pPr>
      <w:r w:rsidRPr="00FE2D8E">
        <w:rPr>
          <w:rFonts w:ascii="Times New Roman" w:hAnsi="Times New Roman" w:cs="Times New Roman"/>
          <w:b/>
          <w:bCs/>
        </w:rPr>
        <w:t xml:space="preserve">Ethical Approval: </w:t>
      </w:r>
      <w:r w:rsidRPr="00FE2D8E">
        <w:rPr>
          <w:rFonts w:ascii="Times New Roman" w:hAnsi="Times New Roman" w:cs="Times New Roman"/>
        </w:rPr>
        <w:t xml:space="preserve">The IRB/EC approved this study via letter no. </w:t>
      </w:r>
      <w:r w:rsidR="00302B8B">
        <w:rPr>
          <w:rFonts w:ascii="Times New Roman" w:hAnsi="Times New Roman" w:cs="Times New Roman"/>
        </w:rPr>
        <w:t>48</w:t>
      </w:r>
      <w:r w:rsidR="008D38FD">
        <w:rPr>
          <w:rFonts w:ascii="Times New Roman" w:hAnsi="Times New Roman" w:cs="Times New Roman"/>
        </w:rPr>
        <w:t xml:space="preserve">.ERC/FMU/2023-24/313 dated </w:t>
      </w:r>
      <w:r w:rsidR="008A6496">
        <w:rPr>
          <w:rFonts w:ascii="Times New Roman" w:hAnsi="Times New Roman" w:cs="Times New Roman"/>
        </w:rPr>
        <w:t>September 13, 2023.</w:t>
      </w:r>
    </w:p>
    <w:p w14:paraId="1780907D" w14:textId="77777777" w:rsidR="000F69FA" w:rsidRPr="00FE2D8E" w:rsidRDefault="000F69FA" w:rsidP="000F69FA">
      <w:pPr>
        <w:spacing w:after="0"/>
        <w:rPr>
          <w:rFonts w:ascii="Times New Roman" w:hAnsi="Times New Roman" w:cs="Times New Roman"/>
          <w:b/>
          <w:bCs/>
        </w:rPr>
      </w:pPr>
      <w:r w:rsidRPr="00FE2D8E">
        <w:rPr>
          <w:rFonts w:ascii="Times New Roman" w:hAnsi="Times New Roman" w:cs="Times New Roman"/>
          <w:b/>
          <w:bCs/>
        </w:rPr>
        <w:t xml:space="preserve">Conflict of Interest: </w:t>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rPr>
        <w:t>None</w:t>
      </w:r>
      <w:r w:rsidRPr="00FE2D8E">
        <w:rPr>
          <w:rFonts w:ascii="Times New Roman" w:hAnsi="Times New Roman" w:cs="Times New Roman"/>
          <w:b/>
          <w:bCs/>
        </w:rPr>
        <w:t xml:space="preserve"> </w:t>
      </w:r>
    </w:p>
    <w:p w14:paraId="3A33C661" w14:textId="23177BCB" w:rsidR="000F69FA" w:rsidRPr="00FE2D8E" w:rsidRDefault="000F69FA" w:rsidP="000F69FA">
      <w:pPr>
        <w:spacing w:after="0"/>
        <w:rPr>
          <w:rFonts w:ascii="Times New Roman" w:hAnsi="Times New Roman" w:cs="Times New Roman"/>
          <w:b/>
          <w:bCs/>
        </w:rPr>
      </w:pPr>
      <w:r>
        <w:rPr>
          <w:rFonts w:ascii="Times New Roman" w:hAnsi="Times New Roman" w:cs="Times New Roman"/>
          <w:b/>
          <w:bCs/>
        </w:rPr>
        <w:t xml:space="preserve">Funding Source: </w:t>
      </w:r>
      <w:r>
        <w:rPr>
          <w:rFonts w:ascii="Times New Roman" w:hAnsi="Times New Roman" w:cs="Times New Roman"/>
          <w:b/>
          <w:bCs/>
        </w:rPr>
        <w:tab/>
      </w:r>
      <w:r>
        <w:rPr>
          <w:rFonts w:ascii="Times New Roman" w:hAnsi="Times New Roman" w:cs="Times New Roman"/>
          <w:b/>
          <w:bCs/>
        </w:rPr>
        <w:tab/>
      </w:r>
      <w:r w:rsidRPr="00FE2D8E">
        <w:rPr>
          <w:rFonts w:ascii="Times New Roman" w:hAnsi="Times New Roman" w:cs="Times New Roman"/>
        </w:rPr>
        <w:t xml:space="preserve">None </w:t>
      </w:r>
      <w:r w:rsidRPr="00FE2D8E">
        <w:rPr>
          <w:rFonts w:ascii="Times New Roman" w:hAnsi="Times New Roman" w:cs="Times New Roman"/>
          <w:b/>
          <w:bCs/>
        </w:rPr>
        <w:t xml:space="preserve">  </w:t>
      </w:r>
    </w:p>
    <w:p w14:paraId="6F4E4F34" w14:textId="77777777" w:rsidR="000F69FA" w:rsidRPr="00FE2D8E" w:rsidRDefault="000F69FA" w:rsidP="000F69FA">
      <w:pPr>
        <w:spacing w:after="0"/>
        <w:rPr>
          <w:rFonts w:ascii="Times New Roman" w:hAnsi="Times New Roman" w:cs="Times New Roman"/>
          <w:b/>
          <w:bCs/>
        </w:rPr>
      </w:pPr>
      <w:r w:rsidRPr="00FE2D8E">
        <w:rPr>
          <w:rFonts w:ascii="Times New Roman" w:hAnsi="Times New Roman" w:cs="Times New Roman"/>
          <w:b/>
          <w:bCs/>
        </w:rPr>
        <w:t>Authors’ Contribution</w:t>
      </w:r>
    </w:p>
    <w:p w14:paraId="1749AB6F" w14:textId="77777777" w:rsidR="00A367A3" w:rsidRPr="00A367A3" w:rsidRDefault="00A367A3" w:rsidP="00A367A3">
      <w:pPr>
        <w:spacing w:after="0" w:line="240" w:lineRule="auto"/>
        <w:jc w:val="both"/>
        <w:rPr>
          <w:rFonts w:ascii="Times New Roman" w:hAnsi="Times New Roman" w:cs="Times New Roman"/>
          <w:color w:val="0D0D0D"/>
        </w:rPr>
      </w:pPr>
      <w:r w:rsidRPr="00A367A3">
        <w:rPr>
          <w:rFonts w:ascii="Times New Roman" w:hAnsi="Times New Roman" w:cs="Times New Roman"/>
          <w:bCs/>
        </w:rPr>
        <w:t>BJ:</w:t>
      </w:r>
      <w:r w:rsidRPr="00A367A3">
        <w:rPr>
          <w:rFonts w:ascii="Times New Roman" w:hAnsi="Times New Roman" w:cs="Times New Roman"/>
          <w:color w:val="0D0D0D"/>
        </w:rPr>
        <w:t> Conceptualization of the project</w:t>
      </w:r>
    </w:p>
    <w:p w14:paraId="00426C7D" w14:textId="77777777" w:rsidR="00A367A3" w:rsidRPr="00A367A3" w:rsidRDefault="00A367A3" w:rsidP="00A367A3">
      <w:pPr>
        <w:spacing w:after="0" w:line="240" w:lineRule="auto"/>
        <w:jc w:val="both"/>
        <w:rPr>
          <w:rFonts w:ascii="Times New Roman" w:hAnsi="Times New Roman" w:cs="Times New Roman"/>
          <w:color w:val="0D0D0D"/>
        </w:rPr>
      </w:pPr>
      <w:r w:rsidRPr="00A367A3">
        <w:rPr>
          <w:rFonts w:ascii="Times New Roman" w:hAnsi="Times New Roman" w:cs="Times New Roman"/>
          <w:bCs/>
        </w:rPr>
        <w:t xml:space="preserve">IN, </w:t>
      </w:r>
      <w:proofErr w:type="spellStart"/>
      <w:r w:rsidRPr="00A367A3">
        <w:rPr>
          <w:rFonts w:ascii="Times New Roman" w:hAnsi="Times New Roman" w:cs="Times New Roman"/>
          <w:bCs/>
        </w:rPr>
        <w:t>MIr</w:t>
      </w:r>
      <w:proofErr w:type="spellEnd"/>
      <w:r w:rsidRPr="00A367A3">
        <w:rPr>
          <w:rFonts w:ascii="Times New Roman" w:hAnsi="Times New Roman" w:cs="Times New Roman"/>
          <w:bCs/>
        </w:rPr>
        <w:t>:</w:t>
      </w:r>
      <w:r w:rsidRPr="00A367A3">
        <w:rPr>
          <w:rFonts w:ascii="Times New Roman" w:hAnsi="Times New Roman" w:cs="Times New Roman"/>
          <w:color w:val="0D0D0D"/>
        </w:rPr>
        <w:t> Design of the work.</w:t>
      </w:r>
    </w:p>
    <w:p w14:paraId="0F489C81" w14:textId="77777777" w:rsidR="00A367A3" w:rsidRPr="00A367A3" w:rsidRDefault="00A367A3" w:rsidP="00A367A3">
      <w:pPr>
        <w:spacing w:after="0" w:line="240" w:lineRule="auto"/>
        <w:jc w:val="both"/>
        <w:rPr>
          <w:rFonts w:ascii="Times New Roman" w:hAnsi="Times New Roman" w:cs="Times New Roman"/>
          <w:color w:val="0D0D0D"/>
        </w:rPr>
      </w:pPr>
      <w:r w:rsidRPr="00A367A3">
        <w:rPr>
          <w:rFonts w:ascii="Times New Roman" w:hAnsi="Times New Roman" w:cs="Times New Roman"/>
          <w:bCs/>
        </w:rPr>
        <w:t>MI, MR, SM:</w:t>
      </w:r>
      <w:r w:rsidRPr="00A367A3">
        <w:rPr>
          <w:rFonts w:ascii="Times New Roman" w:hAnsi="Times New Roman" w:cs="Times New Roman"/>
          <w:color w:val="0D0D0D"/>
        </w:rPr>
        <w:t> Data acquisition, analysis, or interpretation.</w:t>
      </w:r>
    </w:p>
    <w:p w14:paraId="6FA8B0F7" w14:textId="77777777" w:rsidR="00A367A3" w:rsidRPr="00A367A3" w:rsidRDefault="00A367A3" w:rsidP="00A367A3">
      <w:pPr>
        <w:spacing w:after="0" w:line="240" w:lineRule="auto"/>
        <w:jc w:val="both"/>
        <w:rPr>
          <w:rFonts w:ascii="Times New Roman" w:hAnsi="Times New Roman" w:cs="Times New Roman"/>
          <w:color w:val="0D0D0D"/>
        </w:rPr>
      </w:pPr>
      <w:proofErr w:type="spellStart"/>
      <w:r w:rsidRPr="00A367A3">
        <w:rPr>
          <w:rFonts w:ascii="Times New Roman" w:hAnsi="Times New Roman" w:cs="Times New Roman"/>
          <w:bCs/>
        </w:rPr>
        <w:t>MIr</w:t>
      </w:r>
      <w:proofErr w:type="spellEnd"/>
      <w:r w:rsidRPr="00A367A3">
        <w:rPr>
          <w:rFonts w:ascii="Times New Roman" w:hAnsi="Times New Roman" w:cs="Times New Roman"/>
          <w:bCs/>
        </w:rPr>
        <w:t>, MI, MR, SM:</w:t>
      </w:r>
      <w:r w:rsidRPr="00A367A3">
        <w:rPr>
          <w:rFonts w:ascii="Times New Roman" w:hAnsi="Times New Roman" w:cs="Times New Roman"/>
          <w:color w:val="0D0D0D"/>
        </w:rPr>
        <w:t> Draft the work.</w:t>
      </w:r>
    </w:p>
    <w:p w14:paraId="3599F377" w14:textId="77777777" w:rsidR="00A367A3" w:rsidRPr="00A367A3" w:rsidRDefault="00A367A3" w:rsidP="00A367A3">
      <w:pPr>
        <w:spacing w:after="0" w:line="240" w:lineRule="auto"/>
        <w:jc w:val="both"/>
        <w:rPr>
          <w:rFonts w:ascii="Times New Roman" w:hAnsi="Times New Roman" w:cs="Times New Roman"/>
          <w:color w:val="0D0D0D"/>
        </w:rPr>
      </w:pPr>
      <w:r w:rsidRPr="00A367A3">
        <w:rPr>
          <w:rFonts w:ascii="Times New Roman" w:hAnsi="Times New Roman" w:cs="Times New Roman"/>
          <w:bCs/>
        </w:rPr>
        <w:t>BJ, IN:</w:t>
      </w:r>
      <w:r w:rsidRPr="00A367A3">
        <w:rPr>
          <w:rFonts w:ascii="Times New Roman" w:hAnsi="Times New Roman" w:cs="Times New Roman"/>
          <w:color w:val="0D0D0D"/>
        </w:rPr>
        <w:t> Critical review critically of important intellectual content.</w:t>
      </w:r>
    </w:p>
    <w:p w14:paraId="6E1DF252" w14:textId="77777777" w:rsidR="00A367A3" w:rsidRPr="005E7C0F" w:rsidRDefault="00A367A3" w:rsidP="00A367A3">
      <w:pPr>
        <w:spacing w:after="0" w:line="240" w:lineRule="auto"/>
        <w:jc w:val="both"/>
        <w:rPr>
          <w:rFonts w:ascii="Times New Roman" w:hAnsi="Times New Roman" w:cs="Times New Roman"/>
          <w:color w:val="0D0D0D"/>
        </w:rPr>
      </w:pPr>
      <w:r w:rsidRPr="00A367A3">
        <w:rPr>
          <w:rFonts w:ascii="Times New Roman" w:hAnsi="Times New Roman" w:cs="Times New Roman"/>
          <w:color w:val="0D0D0D"/>
        </w:rPr>
        <w:t>All authors approve the version to be published</w:t>
      </w:r>
      <w:r w:rsidRPr="005E7C0F">
        <w:rPr>
          <w:rFonts w:ascii="Times New Roman" w:hAnsi="Times New Roman" w:cs="Times New Roman"/>
          <w:color w:val="0D0D0D"/>
        </w:rPr>
        <w:t>.</w:t>
      </w:r>
    </w:p>
    <w:p w14:paraId="34026009" w14:textId="0DE628AE" w:rsidR="004B7DAA" w:rsidRPr="005E7C0F" w:rsidRDefault="00A367A3" w:rsidP="00A367A3">
      <w:pPr>
        <w:pStyle w:val="NormalWeb"/>
        <w:shd w:val="clear" w:color="auto" w:fill="FFFFFF"/>
        <w:spacing w:before="0" w:beforeAutospacing="0" w:after="0" w:afterAutospacing="0"/>
        <w:rPr>
          <w:color w:val="0D0D0D"/>
          <w:sz w:val="22"/>
          <w:szCs w:val="22"/>
        </w:rPr>
      </w:pPr>
      <w:r w:rsidRPr="005E7C0F">
        <w:rPr>
          <w:color w:val="0D0D0D"/>
          <w:sz w:val="22"/>
          <w:szCs w:val="22"/>
        </w:rPr>
        <w:t>All authors agree to be accountable for all aspects of the work.</w:t>
      </w:r>
    </w:p>
    <w:p w14:paraId="0C18E335" w14:textId="77777777" w:rsidR="00A66394" w:rsidRDefault="00A66394" w:rsidP="006C2731">
      <w:pPr>
        <w:spacing w:after="0" w:line="240" w:lineRule="auto"/>
        <w:jc w:val="both"/>
        <w:rPr>
          <w:rFonts w:ascii="Times New Roman" w:hAnsi="Times New Roman" w:cs="Times New Roman"/>
          <w:b/>
          <w:bCs/>
          <w:sz w:val="20"/>
        </w:rPr>
      </w:pPr>
    </w:p>
    <w:p w14:paraId="5A2B09AB" w14:textId="77777777" w:rsidR="00D9373C" w:rsidRPr="00A66394" w:rsidRDefault="00D9373C" w:rsidP="006C2731">
      <w:pPr>
        <w:spacing w:after="0" w:line="240" w:lineRule="auto"/>
        <w:jc w:val="both"/>
        <w:rPr>
          <w:rFonts w:ascii="Times New Roman" w:hAnsi="Times New Roman" w:cs="Times New Roman"/>
          <w:b/>
          <w:bCs/>
          <w:sz w:val="20"/>
        </w:rPr>
      </w:pPr>
      <w:r w:rsidRPr="00A66394">
        <w:rPr>
          <w:rFonts w:ascii="Times New Roman" w:hAnsi="Times New Roman" w:cs="Times New Roman"/>
          <w:b/>
          <w:bCs/>
          <w:sz w:val="20"/>
        </w:rPr>
        <w:t>References</w:t>
      </w:r>
    </w:p>
    <w:p w14:paraId="401EBB24" w14:textId="17453777"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Azeem S, Khan U, Liaquat A. The increasing rate of diabetes in Pakistan: a silent killer. Ann Med Surg (Lond). </w:t>
      </w:r>
      <w:proofErr w:type="gramStart"/>
      <w:r w:rsidRPr="00A66394">
        <w:rPr>
          <w:rFonts w:ascii="Times New Roman" w:hAnsi="Times New Roman" w:cs="Times New Roman"/>
          <w:sz w:val="20"/>
        </w:rPr>
        <w:t>2022;79:103901</w:t>
      </w:r>
      <w:proofErr w:type="gramEnd"/>
      <w:r w:rsidRPr="00A66394">
        <w:rPr>
          <w:rFonts w:ascii="Times New Roman" w:hAnsi="Times New Roman" w:cs="Times New Roman"/>
          <w:sz w:val="20"/>
        </w:rPr>
        <w:t>.</w:t>
      </w:r>
    </w:p>
    <w:p w14:paraId="75FE1BA2" w14:textId="5F60B918"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proofErr w:type="spellStart"/>
      <w:r w:rsidRPr="00A66394">
        <w:rPr>
          <w:rFonts w:ascii="Times New Roman" w:hAnsi="Times New Roman" w:cs="Times New Roman"/>
          <w:sz w:val="20"/>
        </w:rPr>
        <w:t>Abdelwahid</w:t>
      </w:r>
      <w:proofErr w:type="spellEnd"/>
      <w:r w:rsidRPr="00A66394">
        <w:rPr>
          <w:rFonts w:ascii="Times New Roman" w:hAnsi="Times New Roman" w:cs="Times New Roman"/>
          <w:sz w:val="20"/>
        </w:rPr>
        <w:t xml:space="preserve"> HA, Dahlan HM, </w:t>
      </w:r>
      <w:proofErr w:type="spellStart"/>
      <w:r w:rsidRPr="00A66394">
        <w:rPr>
          <w:rFonts w:ascii="Times New Roman" w:hAnsi="Times New Roman" w:cs="Times New Roman"/>
          <w:sz w:val="20"/>
        </w:rPr>
        <w:t>Mojemamy</w:t>
      </w:r>
      <w:proofErr w:type="spellEnd"/>
      <w:r w:rsidRPr="00A66394">
        <w:rPr>
          <w:rFonts w:ascii="Times New Roman" w:hAnsi="Times New Roman" w:cs="Times New Roman"/>
          <w:sz w:val="20"/>
        </w:rPr>
        <w:t xml:space="preserve"> GM, Darraj GH. Predictors of microalbuminuria and its relationship with glycemic control among patients with type 2 diabetes mellitus. BMC </w:t>
      </w:r>
      <w:proofErr w:type="spellStart"/>
      <w:r w:rsidRPr="00A66394">
        <w:rPr>
          <w:rFonts w:ascii="Times New Roman" w:hAnsi="Times New Roman" w:cs="Times New Roman"/>
          <w:sz w:val="20"/>
        </w:rPr>
        <w:t>Endocr</w:t>
      </w:r>
      <w:proofErr w:type="spellEnd"/>
      <w:r w:rsidRPr="00A66394">
        <w:rPr>
          <w:rFonts w:ascii="Times New Roman" w:hAnsi="Times New Roman" w:cs="Times New Roman"/>
          <w:sz w:val="20"/>
        </w:rPr>
        <w:t xml:space="preserve"> </w:t>
      </w:r>
      <w:proofErr w:type="spellStart"/>
      <w:r w:rsidRPr="00A66394">
        <w:rPr>
          <w:rFonts w:ascii="Times New Roman" w:hAnsi="Times New Roman" w:cs="Times New Roman"/>
          <w:sz w:val="20"/>
        </w:rPr>
        <w:t>Disord</w:t>
      </w:r>
      <w:proofErr w:type="spellEnd"/>
      <w:r w:rsidRPr="00A66394">
        <w:rPr>
          <w:rFonts w:ascii="Times New Roman" w:hAnsi="Times New Roman" w:cs="Times New Roman"/>
          <w:sz w:val="20"/>
        </w:rPr>
        <w:t>. 2022;22(1):1-8.</w:t>
      </w:r>
    </w:p>
    <w:p w14:paraId="3077019A" w14:textId="30DB1B3E"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Natesan V, Kim SJ. Diabetic nephropathy: a review of risk factors, progression, mechanism and dietary management. </w:t>
      </w:r>
      <w:proofErr w:type="spellStart"/>
      <w:r w:rsidRPr="00A66394">
        <w:rPr>
          <w:rFonts w:ascii="Times New Roman" w:hAnsi="Times New Roman" w:cs="Times New Roman"/>
          <w:sz w:val="20"/>
        </w:rPr>
        <w:t>Biomo</w:t>
      </w:r>
      <w:r w:rsidR="00A66394" w:rsidRPr="00A66394">
        <w:rPr>
          <w:rFonts w:ascii="Times New Roman" w:hAnsi="Times New Roman" w:cs="Times New Roman"/>
          <w:sz w:val="20"/>
        </w:rPr>
        <w:t>l</w:t>
      </w:r>
      <w:proofErr w:type="spellEnd"/>
      <w:r w:rsidR="00A66394" w:rsidRPr="00A66394">
        <w:rPr>
          <w:rFonts w:ascii="Times New Roman" w:hAnsi="Times New Roman" w:cs="Times New Roman"/>
          <w:sz w:val="20"/>
        </w:rPr>
        <w:t xml:space="preserve"> Ther (Seoul). 2021;29(4):365-</w:t>
      </w:r>
      <w:r w:rsidRPr="00A66394">
        <w:rPr>
          <w:rFonts w:ascii="Times New Roman" w:hAnsi="Times New Roman" w:cs="Times New Roman"/>
          <w:sz w:val="20"/>
        </w:rPr>
        <w:t>72.</w:t>
      </w:r>
    </w:p>
    <w:p w14:paraId="60852C36" w14:textId="5575767D"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proofErr w:type="spellStart"/>
      <w:r w:rsidRPr="00A66394">
        <w:rPr>
          <w:rFonts w:ascii="Times New Roman" w:hAnsi="Times New Roman" w:cs="Times New Roman"/>
          <w:sz w:val="20"/>
        </w:rPr>
        <w:t>Delanaye</w:t>
      </w:r>
      <w:proofErr w:type="spellEnd"/>
      <w:r w:rsidRPr="00A66394">
        <w:rPr>
          <w:rFonts w:ascii="Times New Roman" w:hAnsi="Times New Roman" w:cs="Times New Roman"/>
          <w:sz w:val="20"/>
        </w:rPr>
        <w:t xml:space="preserve"> P, Wissing KM, Scheen AJ. Sodium-glucose cotransporter 2 inhibitors: renal outcomes according to baseline albuminuria. Cl</w:t>
      </w:r>
      <w:r w:rsidR="00A66394" w:rsidRPr="00A66394">
        <w:rPr>
          <w:rFonts w:ascii="Times New Roman" w:hAnsi="Times New Roman" w:cs="Times New Roman"/>
          <w:sz w:val="20"/>
        </w:rPr>
        <w:t>in Kidney J. 2021;14(12):2463-</w:t>
      </w:r>
      <w:r w:rsidRPr="00A66394">
        <w:rPr>
          <w:rFonts w:ascii="Times New Roman" w:hAnsi="Times New Roman" w:cs="Times New Roman"/>
          <w:sz w:val="20"/>
        </w:rPr>
        <w:t>71.</w:t>
      </w:r>
    </w:p>
    <w:p w14:paraId="6FFE0774" w14:textId="1FBAAA07" w:rsidR="00D9373C" w:rsidRPr="00A66394" w:rsidRDefault="00D9373C" w:rsidP="00A66394">
      <w:pPr>
        <w:pStyle w:val="ListParagraph"/>
        <w:numPr>
          <w:ilvl w:val="0"/>
          <w:numId w:val="1"/>
        </w:numPr>
        <w:spacing w:after="0" w:line="240" w:lineRule="auto"/>
        <w:jc w:val="both"/>
        <w:rPr>
          <w:rFonts w:ascii="Times New Roman" w:hAnsi="Times New Roman" w:cs="Times New Roman"/>
          <w:sz w:val="20"/>
        </w:rPr>
      </w:pPr>
      <w:r w:rsidRPr="00A66394">
        <w:rPr>
          <w:rFonts w:ascii="Times New Roman" w:hAnsi="Times New Roman" w:cs="Times New Roman"/>
          <w:b/>
          <w:bCs/>
          <w:sz w:val="20"/>
        </w:rPr>
        <w:t>5.</w:t>
      </w:r>
      <w:r w:rsidRPr="00A66394">
        <w:rPr>
          <w:rFonts w:ascii="Times New Roman" w:hAnsi="Times New Roman" w:cs="Times New Roman"/>
          <w:sz w:val="20"/>
        </w:rPr>
        <w:t xml:space="preserve"> </w:t>
      </w:r>
      <w:proofErr w:type="spellStart"/>
      <w:r w:rsidRPr="00A66394">
        <w:rPr>
          <w:rFonts w:ascii="Times New Roman" w:hAnsi="Times New Roman" w:cs="Times New Roman"/>
          <w:sz w:val="20"/>
        </w:rPr>
        <w:t>Wanner</w:t>
      </w:r>
      <w:proofErr w:type="spellEnd"/>
      <w:r w:rsidRPr="00A66394">
        <w:rPr>
          <w:rFonts w:ascii="Times New Roman" w:hAnsi="Times New Roman" w:cs="Times New Roman"/>
          <w:sz w:val="20"/>
        </w:rPr>
        <w:t xml:space="preserve"> C, </w:t>
      </w:r>
      <w:proofErr w:type="spellStart"/>
      <w:r w:rsidRPr="00A66394">
        <w:rPr>
          <w:rFonts w:ascii="Times New Roman" w:hAnsi="Times New Roman" w:cs="Times New Roman"/>
          <w:sz w:val="20"/>
        </w:rPr>
        <w:t>Inzucchi</w:t>
      </w:r>
      <w:proofErr w:type="spellEnd"/>
      <w:r w:rsidRPr="00A66394">
        <w:rPr>
          <w:rFonts w:ascii="Times New Roman" w:hAnsi="Times New Roman" w:cs="Times New Roman"/>
          <w:sz w:val="20"/>
        </w:rPr>
        <w:t xml:space="preserve"> </w:t>
      </w:r>
      <w:proofErr w:type="gramStart"/>
      <w:r w:rsidRPr="00A66394">
        <w:rPr>
          <w:rFonts w:ascii="Times New Roman" w:hAnsi="Times New Roman" w:cs="Times New Roman"/>
          <w:sz w:val="20"/>
        </w:rPr>
        <w:t>SE,</w:t>
      </w:r>
      <w:r w:rsidR="001D5DDC" w:rsidRPr="00A66394">
        <w:rPr>
          <w:rFonts w:ascii="Times New Roman" w:hAnsi="Times New Roman" w:cs="Times New Roman"/>
          <w:sz w:val="20"/>
        </w:rPr>
        <w:t xml:space="preserve">  </w:t>
      </w:r>
      <w:r w:rsidRPr="00A66394">
        <w:rPr>
          <w:rFonts w:ascii="Times New Roman" w:hAnsi="Times New Roman" w:cs="Times New Roman"/>
          <w:sz w:val="20"/>
        </w:rPr>
        <w:t xml:space="preserve"> </w:t>
      </w:r>
      <w:proofErr w:type="gramEnd"/>
      <w:r w:rsidRPr="00A66394">
        <w:rPr>
          <w:rFonts w:ascii="Times New Roman" w:hAnsi="Times New Roman" w:cs="Times New Roman"/>
          <w:sz w:val="20"/>
        </w:rPr>
        <w:t xml:space="preserve">Lachin JM, Fitchett D, von </w:t>
      </w:r>
      <w:proofErr w:type="spellStart"/>
      <w:r w:rsidRPr="00A66394">
        <w:rPr>
          <w:rFonts w:ascii="Times New Roman" w:hAnsi="Times New Roman" w:cs="Times New Roman"/>
          <w:sz w:val="20"/>
        </w:rPr>
        <w:t>Eynatten</w:t>
      </w:r>
      <w:proofErr w:type="spellEnd"/>
      <w:r w:rsidRPr="00A66394">
        <w:rPr>
          <w:rFonts w:ascii="Times New Roman" w:hAnsi="Times New Roman" w:cs="Times New Roman"/>
          <w:sz w:val="20"/>
        </w:rPr>
        <w:t xml:space="preserve"> M, Mattheus M, et al. Empagliflozin and progression of kidney disease in type 2 diabetes.</w:t>
      </w:r>
      <w:r w:rsidR="00A66394" w:rsidRPr="00A66394">
        <w:rPr>
          <w:rFonts w:ascii="Times New Roman" w:hAnsi="Times New Roman" w:cs="Times New Roman"/>
          <w:sz w:val="20"/>
        </w:rPr>
        <w:t xml:space="preserve"> N Engl J Med. 2016;375(4):323-</w:t>
      </w:r>
      <w:r w:rsidRPr="00A66394">
        <w:rPr>
          <w:rFonts w:ascii="Times New Roman" w:hAnsi="Times New Roman" w:cs="Times New Roman"/>
          <w:sz w:val="20"/>
        </w:rPr>
        <w:t>34.</w:t>
      </w:r>
    </w:p>
    <w:p w14:paraId="7F70E64C" w14:textId="06C6BEED"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proofErr w:type="spellStart"/>
      <w:r w:rsidRPr="00A66394">
        <w:rPr>
          <w:rFonts w:ascii="Times New Roman" w:hAnsi="Times New Roman" w:cs="Times New Roman"/>
          <w:sz w:val="20"/>
        </w:rPr>
        <w:lastRenderedPageBreak/>
        <w:t>Kinguchi</w:t>
      </w:r>
      <w:proofErr w:type="spellEnd"/>
      <w:r w:rsidRPr="00A66394">
        <w:rPr>
          <w:rFonts w:ascii="Times New Roman" w:hAnsi="Times New Roman" w:cs="Times New Roman"/>
          <w:sz w:val="20"/>
        </w:rPr>
        <w:t xml:space="preserve"> S, </w:t>
      </w:r>
      <w:proofErr w:type="spellStart"/>
      <w:r w:rsidRPr="00A66394">
        <w:rPr>
          <w:rFonts w:ascii="Times New Roman" w:hAnsi="Times New Roman" w:cs="Times New Roman"/>
          <w:sz w:val="20"/>
        </w:rPr>
        <w:t>Wakui</w:t>
      </w:r>
      <w:proofErr w:type="spellEnd"/>
      <w:r w:rsidRPr="00A66394">
        <w:rPr>
          <w:rFonts w:ascii="Times New Roman" w:hAnsi="Times New Roman" w:cs="Times New Roman"/>
          <w:sz w:val="20"/>
        </w:rPr>
        <w:t xml:space="preserve"> H, Ito Y, Kondo Y, </w:t>
      </w:r>
      <w:proofErr w:type="spellStart"/>
      <w:r w:rsidRPr="00A66394">
        <w:rPr>
          <w:rFonts w:ascii="Times New Roman" w:hAnsi="Times New Roman" w:cs="Times New Roman"/>
          <w:sz w:val="20"/>
        </w:rPr>
        <w:t>Azushima</w:t>
      </w:r>
      <w:proofErr w:type="spellEnd"/>
      <w:r w:rsidRPr="00A66394">
        <w:rPr>
          <w:rFonts w:ascii="Times New Roman" w:hAnsi="Times New Roman" w:cs="Times New Roman"/>
          <w:sz w:val="20"/>
        </w:rPr>
        <w:t xml:space="preserve"> K, Osada U, et al. Improved home blood pressure profile with dapagliflozin is associated with amelioration of albuminuria in Japanese patients with diabetic nephropathy: the Y-AIDA study. Cardiovasc </w:t>
      </w:r>
      <w:proofErr w:type="spellStart"/>
      <w:r w:rsidRPr="00A66394">
        <w:rPr>
          <w:rFonts w:ascii="Times New Roman" w:hAnsi="Times New Roman" w:cs="Times New Roman"/>
          <w:sz w:val="20"/>
        </w:rPr>
        <w:t>Diabetol</w:t>
      </w:r>
      <w:proofErr w:type="spellEnd"/>
      <w:r w:rsidRPr="00A66394">
        <w:rPr>
          <w:rFonts w:ascii="Times New Roman" w:hAnsi="Times New Roman" w:cs="Times New Roman"/>
          <w:sz w:val="20"/>
        </w:rPr>
        <w:t>. 2019;18(1):1-16.</w:t>
      </w:r>
    </w:p>
    <w:p w14:paraId="293FE6E0" w14:textId="55A149B7"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Jin ZJ, Wang GZ. Clinical efficacy of dapagliflozin in the treatment of patients with diabetic nephropathy and its effect on proteinuria. Diabetes </w:t>
      </w:r>
      <w:proofErr w:type="spellStart"/>
      <w:r w:rsidRPr="00A66394">
        <w:rPr>
          <w:rFonts w:ascii="Times New Roman" w:hAnsi="Times New Roman" w:cs="Times New Roman"/>
          <w:sz w:val="20"/>
        </w:rPr>
        <w:t>Metab</w:t>
      </w:r>
      <w:proofErr w:type="spellEnd"/>
      <w:r w:rsidRPr="00A66394">
        <w:rPr>
          <w:rFonts w:ascii="Times New Roman" w:hAnsi="Times New Roman" w:cs="Times New Roman"/>
          <w:sz w:val="20"/>
        </w:rPr>
        <w:t xml:space="preserve"> Syndr </w:t>
      </w:r>
      <w:proofErr w:type="spellStart"/>
      <w:r w:rsidRPr="00A66394">
        <w:rPr>
          <w:rFonts w:ascii="Times New Roman" w:hAnsi="Times New Roman" w:cs="Times New Roman"/>
          <w:sz w:val="20"/>
        </w:rPr>
        <w:t>Obes</w:t>
      </w:r>
      <w:proofErr w:type="spellEnd"/>
      <w:r w:rsidRPr="00A66394">
        <w:rPr>
          <w:rFonts w:ascii="Times New Roman" w:hAnsi="Times New Roman" w:cs="Times New Roman"/>
          <w:sz w:val="20"/>
        </w:rPr>
        <w:t xml:space="preserve">. </w:t>
      </w:r>
      <w:proofErr w:type="gramStart"/>
      <w:r w:rsidRPr="00A66394">
        <w:rPr>
          <w:rFonts w:ascii="Times New Roman" w:hAnsi="Times New Roman" w:cs="Times New Roman"/>
          <w:sz w:val="20"/>
        </w:rPr>
        <w:t>2023;16:2167</w:t>
      </w:r>
      <w:proofErr w:type="gramEnd"/>
      <w:r w:rsidRPr="00A66394">
        <w:rPr>
          <w:rFonts w:ascii="Times New Roman" w:hAnsi="Times New Roman" w:cs="Times New Roman"/>
          <w:sz w:val="20"/>
        </w:rPr>
        <w:t>-2175.</w:t>
      </w:r>
    </w:p>
    <w:p w14:paraId="1388DD32" w14:textId="120C7ED7"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proofErr w:type="spellStart"/>
      <w:r w:rsidRPr="00A66394">
        <w:rPr>
          <w:rFonts w:ascii="Times New Roman" w:hAnsi="Times New Roman" w:cs="Times New Roman"/>
          <w:sz w:val="20"/>
        </w:rPr>
        <w:t>Ruggenenti</w:t>
      </w:r>
      <w:proofErr w:type="spellEnd"/>
      <w:r w:rsidRPr="00A66394">
        <w:rPr>
          <w:rFonts w:ascii="Times New Roman" w:hAnsi="Times New Roman" w:cs="Times New Roman"/>
          <w:sz w:val="20"/>
        </w:rPr>
        <w:t xml:space="preserve"> P, Kraus BJ, </w:t>
      </w:r>
      <w:proofErr w:type="spellStart"/>
      <w:r w:rsidRPr="00A66394">
        <w:rPr>
          <w:rFonts w:ascii="Times New Roman" w:hAnsi="Times New Roman" w:cs="Times New Roman"/>
          <w:sz w:val="20"/>
        </w:rPr>
        <w:t>Inzucchi</w:t>
      </w:r>
      <w:proofErr w:type="spellEnd"/>
      <w:r w:rsidRPr="00A66394">
        <w:rPr>
          <w:rFonts w:ascii="Times New Roman" w:hAnsi="Times New Roman" w:cs="Times New Roman"/>
          <w:sz w:val="20"/>
        </w:rPr>
        <w:t xml:space="preserve"> SE, Zinman B, </w:t>
      </w:r>
      <w:proofErr w:type="spellStart"/>
      <w:r w:rsidRPr="00A66394">
        <w:rPr>
          <w:rFonts w:ascii="Times New Roman" w:hAnsi="Times New Roman" w:cs="Times New Roman"/>
          <w:sz w:val="20"/>
        </w:rPr>
        <w:t>Hantel</w:t>
      </w:r>
      <w:proofErr w:type="spellEnd"/>
      <w:r w:rsidRPr="00A66394">
        <w:rPr>
          <w:rFonts w:ascii="Times New Roman" w:hAnsi="Times New Roman" w:cs="Times New Roman"/>
          <w:sz w:val="20"/>
        </w:rPr>
        <w:t xml:space="preserve"> S, Mattheus M, et al. Nephrotic-range proteinuria in type 2 diabetes: effects of empagliflozin on kidney disease progression and clinical outcomes. E</w:t>
      </w:r>
      <w:r w:rsidR="00A66394" w:rsidRPr="00A66394">
        <w:rPr>
          <w:rFonts w:ascii="Times New Roman" w:hAnsi="Times New Roman" w:cs="Times New Roman"/>
          <w:sz w:val="20"/>
        </w:rPr>
        <w:t xml:space="preserve"> Clin Med</w:t>
      </w:r>
      <w:r w:rsidRPr="00A66394">
        <w:rPr>
          <w:rFonts w:ascii="Times New Roman" w:hAnsi="Times New Roman" w:cs="Times New Roman"/>
          <w:sz w:val="20"/>
        </w:rPr>
        <w:t xml:space="preserve">. </w:t>
      </w:r>
      <w:proofErr w:type="gramStart"/>
      <w:r w:rsidRPr="00A66394">
        <w:rPr>
          <w:rFonts w:ascii="Times New Roman" w:hAnsi="Times New Roman" w:cs="Times New Roman"/>
          <w:sz w:val="20"/>
        </w:rPr>
        <w:t>2022;43:101240</w:t>
      </w:r>
      <w:proofErr w:type="gramEnd"/>
      <w:r w:rsidRPr="00A66394">
        <w:rPr>
          <w:rFonts w:ascii="Times New Roman" w:hAnsi="Times New Roman" w:cs="Times New Roman"/>
          <w:sz w:val="20"/>
        </w:rPr>
        <w:t>.</w:t>
      </w:r>
    </w:p>
    <w:p w14:paraId="049A7506" w14:textId="25281918"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Zinman B, </w:t>
      </w:r>
      <w:proofErr w:type="spellStart"/>
      <w:r w:rsidRPr="00A66394">
        <w:rPr>
          <w:rFonts w:ascii="Times New Roman" w:hAnsi="Times New Roman" w:cs="Times New Roman"/>
          <w:sz w:val="20"/>
        </w:rPr>
        <w:t>Wanner</w:t>
      </w:r>
      <w:proofErr w:type="spellEnd"/>
      <w:r w:rsidRPr="00A66394">
        <w:rPr>
          <w:rFonts w:ascii="Times New Roman" w:hAnsi="Times New Roman" w:cs="Times New Roman"/>
          <w:sz w:val="20"/>
        </w:rPr>
        <w:t xml:space="preserve"> C, Lachin JM, Fitchett D, </w:t>
      </w:r>
      <w:proofErr w:type="spellStart"/>
      <w:r w:rsidRPr="00A66394">
        <w:rPr>
          <w:rFonts w:ascii="Times New Roman" w:hAnsi="Times New Roman" w:cs="Times New Roman"/>
          <w:sz w:val="20"/>
        </w:rPr>
        <w:t>Bluhmki</w:t>
      </w:r>
      <w:proofErr w:type="spellEnd"/>
      <w:r w:rsidRPr="00A66394">
        <w:rPr>
          <w:rFonts w:ascii="Times New Roman" w:hAnsi="Times New Roman" w:cs="Times New Roman"/>
          <w:sz w:val="20"/>
        </w:rPr>
        <w:t xml:space="preserve"> E, </w:t>
      </w:r>
      <w:proofErr w:type="spellStart"/>
      <w:r w:rsidRPr="00A66394">
        <w:rPr>
          <w:rFonts w:ascii="Times New Roman" w:hAnsi="Times New Roman" w:cs="Times New Roman"/>
          <w:sz w:val="20"/>
        </w:rPr>
        <w:t>Hantel</w:t>
      </w:r>
      <w:proofErr w:type="spellEnd"/>
      <w:r w:rsidRPr="00A66394">
        <w:rPr>
          <w:rFonts w:ascii="Times New Roman" w:hAnsi="Times New Roman" w:cs="Times New Roman"/>
          <w:sz w:val="20"/>
        </w:rPr>
        <w:t xml:space="preserve"> S, et al. Empagliflozin, cardiovascular outcomes, and mortality in type 2 diabetes. N </w:t>
      </w:r>
      <w:r w:rsidR="00A66394" w:rsidRPr="00A66394">
        <w:rPr>
          <w:rFonts w:ascii="Times New Roman" w:hAnsi="Times New Roman" w:cs="Times New Roman"/>
          <w:sz w:val="20"/>
        </w:rPr>
        <w:t>Engl J Med. 2015;373(22):2117-</w:t>
      </w:r>
      <w:r w:rsidRPr="00A66394">
        <w:rPr>
          <w:rFonts w:ascii="Times New Roman" w:hAnsi="Times New Roman" w:cs="Times New Roman"/>
          <w:sz w:val="20"/>
        </w:rPr>
        <w:t>28.</w:t>
      </w:r>
    </w:p>
    <w:p w14:paraId="348820F3" w14:textId="4EFB15C3"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proofErr w:type="spellStart"/>
      <w:r w:rsidRPr="00A66394">
        <w:rPr>
          <w:rFonts w:ascii="Times New Roman" w:hAnsi="Times New Roman" w:cs="Times New Roman"/>
          <w:sz w:val="20"/>
        </w:rPr>
        <w:t>Wiviott</w:t>
      </w:r>
      <w:proofErr w:type="spellEnd"/>
      <w:r w:rsidRPr="00A66394">
        <w:rPr>
          <w:rFonts w:ascii="Times New Roman" w:hAnsi="Times New Roman" w:cs="Times New Roman"/>
          <w:sz w:val="20"/>
        </w:rPr>
        <w:t xml:space="preserve"> SD, Raz I, </w:t>
      </w:r>
      <w:proofErr w:type="spellStart"/>
      <w:r w:rsidRPr="00A66394">
        <w:rPr>
          <w:rFonts w:ascii="Times New Roman" w:hAnsi="Times New Roman" w:cs="Times New Roman"/>
          <w:sz w:val="20"/>
        </w:rPr>
        <w:t>Bonaca</w:t>
      </w:r>
      <w:proofErr w:type="spellEnd"/>
      <w:r w:rsidRPr="00A66394">
        <w:rPr>
          <w:rFonts w:ascii="Times New Roman" w:hAnsi="Times New Roman" w:cs="Times New Roman"/>
          <w:sz w:val="20"/>
        </w:rPr>
        <w:t xml:space="preserve"> MP, </w:t>
      </w:r>
      <w:proofErr w:type="spellStart"/>
      <w:r w:rsidRPr="00A66394">
        <w:rPr>
          <w:rFonts w:ascii="Times New Roman" w:hAnsi="Times New Roman" w:cs="Times New Roman"/>
          <w:sz w:val="20"/>
        </w:rPr>
        <w:t>Mosenzon</w:t>
      </w:r>
      <w:proofErr w:type="spellEnd"/>
      <w:r w:rsidRPr="00A66394">
        <w:rPr>
          <w:rFonts w:ascii="Times New Roman" w:hAnsi="Times New Roman" w:cs="Times New Roman"/>
          <w:sz w:val="20"/>
        </w:rPr>
        <w:t xml:space="preserve"> O, Kato ET, Cahn A, et al. Dapagliflozin and cardiovascular outcomes in type 2 diabetes. N Engl J Med. 2019;380(4)</w:t>
      </w:r>
      <w:r w:rsidR="00A66394" w:rsidRPr="00A66394">
        <w:rPr>
          <w:rFonts w:ascii="Times New Roman" w:hAnsi="Times New Roman" w:cs="Times New Roman"/>
          <w:sz w:val="20"/>
        </w:rPr>
        <w:t>:347-</w:t>
      </w:r>
      <w:r w:rsidRPr="00A66394">
        <w:rPr>
          <w:rFonts w:ascii="Times New Roman" w:hAnsi="Times New Roman" w:cs="Times New Roman"/>
          <w:sz w:val="20"/>
        </w:rPr>
        <w:t>57.</w:t>
      </w:r>
    </w:p>
    <w:p w14:paraId="6564E5D6" w14:textId="03B8916E"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Heerspink HJL, Stefánsson BV, Correa-Rotter R, </w:t>
      </w:r>
      <w:proofErr w:type="spellStart"/>
      <w:r w:rsidRPr="00A66394">
        <w:rPr>
          <w:rFonts w:ascii="Times New Roman" w:hAnsi="Times New Roman" w:cs="Times New Roman"/>
          <w:sz w:val="20"/>
        </w:rPr>
        <w:t>Chertow</w:t>
      </w:r>
      <w:proofErr w:type="spellEnd"/>
      <w:r w:rsidRPr="00A66394">
        <w:rPr>
          <w:rFonts w:ascii="Times New Roman" w:hAnsi="Times New Roman" w:cs="Times New Roman"/>
          <w:sz w:val="20"/>
        </w:rPr>
        <w:t xml:space="preserve"> GM, Greene T, Hou FF, et al. Dapagliflozin in patients with chronic kidney disease. N E</w:t>
      </w:r>
      <w:r w:rsidR="00A66394" w:rsidRPr="00A66394">
        <w:rPr>
          <w:rFonts w:ascii="Times New Roman" w:hAnsi="Times New Roman" w:cs="Times New Roman"/>
          <w:sz w:val="20"/>
        </w:rPr>
        <w:t>ngl J Med. 2020;383(15):1436-1</w:t>
      </w:r>
      <w:r w:rsidRPr="00A66394">
        <w:rPr>
          <w:rFonts w:ascii="Times New Roman" w:hAnsi="Times New Roman" w:cs="Times New Roman"/>
          <w:sz w:val="20"/>
        </w:rPr>
        <w:t>6.</w:t>
      </w:r>
    </w:p>
    <w:p w14:paraId="6AD24198" w14:textId="288F7CCB"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Herrington WG, </w:t>
      </w:r>
      <w:proofErr w:type="spellStart"/>
      <w:r w:rsidRPr="00A66394">
        <w:rPr>
          <w:rFonts w:ascii="Times New Roman" w:hAnsi="Times New Roman" w:cs="Times New Roman"/>
          <w:sz w:val="20"/>
        </w:rPr>
        <w:t>Staplin</w:t>
      </w:r>
      <w:proofErr w:type="spellEnd"/>
      <w:r w:rsidRPr="00A66394">
        <w:rPr>
          <w:rFonts w:ascii="Times New Roman" w:hAnsi="Times New Roman" w:cs="Times New Roman"/>
          <w:sz w:val="20"/>
        </w:rPr>
        <w:t xml:space="preserve"> N, </w:t>
      </w:r>
      <w:proofErr w:type="spellStart"/>
      <w:r w:rsidRPr="00A66394">
        <w:rPr>
          <w:rFonts w:ascii="Times New Roman" w:hAnsi="Times New Roman" w:cs="Times New Roman"/>
          <w:sz w:val="20"/>
        </w:rPr>
        <w:t>Wanner</w:t>
      </w:r>
      <w:proofErr w:type="spellEnd"/>
      <w:r w:rsidRPr="00A66394">
        <w:rPr>
          <w:rFonts w:ascii="Times New Roman" w:hAnsi="Times New Roman" w:cs="Times New Roman"/>
          <w:sz w:val="20"/>
        </w:rPr>
        <w:t xml:space="preserve"> C, Green JB, </w:t>
      </w:r>
      <w:proofErr w:type="spellStart"/>
      <w:r w:rsidRPr="00A66394">
        <w:rPr>
          <w:rFonts w:ascii="Times New Roman" w:hAnsi="Times New Roman" w:cs="Times New Roman"/>
          <w:sz w:val="20"/>
        </w:rPr>
        <w:t>Hauske</w:t>
      </w:r>
      <w:proofErr w:type="spellEnd"/>
      <w:r w:rsidRPr="00A66394">
        <w:rPr>
          <w:rFonts w:ascii="Times New Roman" w:hAnsi="Times New Roman" w:cs="Times New Roman"/>
          <w:sz w:val="20"/>
        </w:rPr>
        <w:t xml:space="preserve"> SJ, Emberson J, et al. Empagliflozin in patients with chronic kidney disease.</w:t>
      </w:r>
      <w:r w:rsidR="00A66394" w:rsidRPr="00A66394">
        <w:rPr>
          <w:rFonts w:ascii="Times New Roman" w:hAnsi="Times New Roman" w:cs="Times New Roman"/>
          <w:sz w:val="20"/>
        </w:rPr>
        <w:t xml:space="preserve"> N Engl J Med. 2023;388(2):117-</w:t>
      </w:r>
      <w:r w:rsidRPr="00A66394">
        <w:rPr>
          <w:rFonts w:ascii="Times New Roman" w:hAnsi="Times New Roman" w:cs="Times New Roman"/>
          <w:sz w:val="20"/>
        </w:rPr>
        <w:t>27.</w:t>
      </w:r>
    </w:p>
    <w:p w14:paraId="1F2B51EB" w14:textId="5B945F62"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Butler J, Packer M, Siddiqi TJ, Böhm M, Brueckmann M, Januzzi JL Jr, et al. Efficacy of empagliflozin in patients with heart failure across kidney risk categories. J Am </w:t>
      </w:r>
      <w:r w:rsidR="00A66394" w:rsidRPr="00A66394">
        <w:rPr>
          <w:rFonts w:ascii="Times New Roman" w:hAnsi="Times New Roman" w:cs="Times New Roman"/>
          <w:sz w:val="20"/>
        </w:rPr>
        <w:t xml:space="preserve">Coll </w:t>
      </w:r>
      <w:proofErr w:type="spellStart"/>
      <w:r w:rsidR="00A66394" w:rsidRPr="00A66394">
        <w:rPr>
          <w:rFonts w:ascii="Times New Roman" w:hAnsi="Times New Roman" w:cs="Times New Roman"/>
          <w:sz w:val="20"/>
        </w:rPr>
        <w:t>Cardiol</w:t>
      </w:r>
      <w:proofErr w:type="spellEnd"/>
      <w:r w:rsidR="00A66394" w:rsidRPr="00A66394">
        <w:rPr>
          <w:rFonts w:ascii="Times New Roman" w:hAnsi="Times New Roman" w:cs="Times New Roman"/>
          <w:sz w:val="20"/>
        </w:rPr>
        <w:t>. 2023;81(19):1902-</w:t>
      </w:r>
      <w:r w:rsidRPr="00A66394">
        <w:rPr>
          <w:rFonts w:ascii="Times New Roman" w:hAnsi="Times New Roman" w:cs="Times New Roman"/>
          <w:sz w:val="20"/>
        </w:rPr>
        <w:t>14.</w:t>
      </w:r>
    </w:p>
    <w:p w14:paraId="5BF254D9" w14:textId="4EA1B571" w:rsidR="00D9373C" w:rsidRPr="00A66394" w:rsidRDefault="00D9373C" w:rsidP="00A66394">
      <w:pPr>
        <w:pStyle w:val="ListParagraph"/>
        <w:numPr>
          <w:ilvl w:val="0"/>
          <w:numId w:val="2"/>
        </w:numPr>
        <w:spacing w:after="0" w:line="240" w:lineRule="auto"/>
        <w:jc w:val="both"/>
        <w:rPr>
          <w:rFonts w:ascii="Times New Roman" w:hAnsi="Times New Roman" w:cs="Times New Roman"/>
          <w:sz w:val="20"/>
        </w:rPr>
      </w:pPr>
      <w:r w:rsidRPr="00A66394">
        <w:rPr>
          <w:rFonts w:ascii="Times New Roman" w:hAnsi="Times New Roman" w:cs="Times New Roman"/>
          <w:sz w:val="20"/>
        </w:rPr>
        <w:t xml:space="preserve">Khan Z, Altaf A, </w:t>
      </w:r>
      <w:proofErr w:type="spellStart"/>
      <w:r w:rsidRPr="00A66394">
        <w:rPr>
          <w:rFonts w:ascii="Times New Roman" w:hAnsi="Times New Roman" w:cs="Times New Roman"/>
          <w:sz w:val="20"/>
        </w:rPr>
        <w:t>Jhanzaib</w:t>
      </w:r>
      <w:proofErr w:type="spellEnd"/>
      <w:r w:rsidRPr="00A66394">
        <w:rPr>
          <w:rFonts w:ascii="Times New Roman" w:hAnsi="Times New Roman" w:cs="Times New Roman"/>
          <w:sz w:val="20"/>
        </w:rPr>
        <w:t xml:space="preserve"> S, Ijaz MU, Fazal N, </w:t>
      </w:r>
      <w:proofErr w:type="spellStart"/>
      <w:r w:rsidRPr="00A66394">
        <w:rPr>
          <w:rFonts w:ascii="Times New Roman" w:hAnsi="Times New Roman" w:cs="Times New Roman"/>
          <w:sz w:val="20"/>
        </w:rPr>
        <w:t>Ikhlaq</w:t>
      </w:r>
      <w:proofErr w:type="spellEnd"/>
      <w:r w:rsidRPr="00A66394">
        <w:rPr>
          <w:rFonts w:ascii="Times New Roman" w:hAnsi="Times New Roman" w:cs="Times New Roman"/>
          <w:sz w:val="20"/>
        </w:rPr>
        <w:t xml:space="preserve"> A. Efficacy of empagliflozin in slowing the progression of renal disease in patients with type 2 diabetes: a single-blind interventional placebo-controlled study at a tertiary care setting in Qu</w:t>
      </w:r>
      <w:r w:rsidR="00A66394" w:rsidRPr="00A66394">
        <w:rPr>
          <w:rFonts w:ascii="Times New Roman" w:hAnsi="Times New Roman" w:cs="Times New Roman"/>
          <w:sz w:val="20"/>
        </w:rPr>
        <w:t>etta. Life Sci. 2025;6(4):522-</w:t>
      </w:r>
      <w:r w:rsidRPr="00A66394">
        <w:rPr>
          <w:rFonts w:ascii="Times New Roman" w:hAnsi="Times New Roman" w:cs="Times New Roman"/>
          <w:sz w:val="20"/>
        </w:rPr>
        <w:t>7.</w:t>
      </w:r>
    </w:p>
    <w:p w14:paraId="7AADF6AC"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7EDD2F9F"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0678F2CE"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69078F0B"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62077A67" w14:textId="77777777" w:rsidR="00C04784" w:rsidRPr="005E7C0F" w:rsidRDefault="00C04784" w:rsidP="006C2731">
      <w:pPr>
        <w:spacing w:after="0" w:line="240" w:lineRule="auto"/>
        <w:jc w:val="both"/>
        <w:rPr>
          <w:rFonts w:ascii="Times New Roman" w:eastAsia="Times New Roman" w:hAnsi="Times New Roman" w:cs="Times New Roman"/>
          <w:noProof/>
        </w:rPr>
      </w:pPr>
    </w:p>
    <w:p w14:paraId="53EFA05A" w14:textId="77777777" w:rsidR="00C04784" w:rsidRPr="005E7C0F" w:rsidRDefault="00C04784" w:rsidP="006C2731">
      <w:pPr>
        <w:spacing w:after="0" w:line="240" w:lineRule="auto"/>
        <w:jc w:val="both"/>
        <w:rPr>
          <w:rFonts w:ascii="Times New Roman" w:eastAsia="Times New Roman" w:hAnsi="Times New Roman" w:cs="Times New Roman"/>
          <w:noProof/>
        </w:rPr>
      </w:pPr>
    </w:p>
    <w:sectPr w:rsidR="00C04784" w:rsidRPr="005E7C0F" w:rsidSect="000F6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F226C"/>
    <w:multiLevelType w:val="hybridMultilevel"/>
    <w:tmpl w:val="8B0A7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6C6478"/>
    <w:multiLevelType w:val="hybridMultilevel"/>
    <w:tmpl w:val="66BEDCCA"/>
    <w:lvl w:ilvl="0" w:tplc="ED989D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836744">
    <w:abstractNumId w:val="0"/>
  </w:num>
  <w:num w:numId="2" w16cid:durableId="563833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12D6"/>
    <w:rsid w:val="000040F9"/>
    <w:rsid w:val="000252E4"/>
    <w:rsid w:val="000570A2"/>
    <w:rsid w:val="000621A1"/>
    <w:rsid w:val="00081685"/>
    <w:rsid w:val="00083FA3"/>
    <w:rsid w:val="00084C59"/>
    <w:rsid w:val="000A2250"/>
    <w:rsid w:val="000B4D88"/>
    <w:rsid w:val="000E4273"/>
    <w:rsid w:val="000F69FA"/>
    <w:rsid w:val="001D5DDC"/>
    <w:rsid w:val="00215EEC"/>
    <w:rsid w:val="00216E14"/>
    <w:rsid w:val="00226A2A"/>
    <w:rsid w:val="002E45C8"/>
    <w:rsid w:val="00302B8B"/>
    <w:rsid w:val="00354520"/>
    <w:rsid w:val="003A5EDB"/>
    <w:rsid w:val="003E2E23"/>
    <w:rsid w:val="004142F6"/>
    <w:rsid w:val="00437D08"/>
    <w:rsid w:val="004B7DAA"/>
    <w:rsid w:val="0052059A"/>
    <w:rsid w:val="00552C7A"/>
    <w:rsid w:val="00554139"/>
    <w:rsid w:val="00554ACA"/>
    <w:rsid w:val="00554E06"/>
    <w:rsid w:val="005A6502"/>
    <w:rsid w:val="005D16BF"/>
    <w:rsid w:val="005E7C0F"/>
    <w:rsid w:val="00621014"/>
    <w:rsid w:val="00627B78"/>
    <w:rsid w:val="00681855"/>
    <w:rsid w:val="006C2731"/>
    <w:rsid w:val="00736BD9"/>
    <w:rsid w:val="0073765F"/>
    <w:rsid w:val="00771B09"/>
    <w:rsid w:val="007924B3"/>
    <w:rsid w:val="007B0D95"/>
    <w:rsid w:val="007C1E56"/>
    <w:rsid w:val="007E60C4"/>
    <w:rsid w:val="00816386"/>
    <w:rsid w:val="00853E13"/>
    <w:rsid w:val="008A6496"/>
    <w:rsid w:val="008D2D1C"/>
    <w:rsid w:val="008D38FD"/>
    <w:rsid w:val="009612D6"/>
    <w:rsid w:val="00981D4A"/>
    <w:rsid w:val="009832E8"/>
    <w:rsid w:val="009A22B3"/>
    <w:rsid w:val="009A58CA"/>
    <w:rsid w:val="009B27AD"/>
    <w:rsid w:val="00A00096"/>
    <w:rsid w:val="00A0080A"/>
    <w:rsid w:val="00A0492D"/>
    <w:rsid w:val="00A367A3"/>
    <w:rsid w:val="00A4241B"/>
    <w:rsid w:val="00A66394"/>
    <w:rsid w:val="00AA6481"/>
    <w:rsid w:val="00B14386"/>
    <w:rsid w:val="00B323B8"/>
    <w:rsid w:val="00B5597C"/>
    <w:rsid w:val="00B7687F"/>
    <w:rsid w:val="00B82609"/>
    <w:rsid w:val="00BC1F38"/>
    <w:rsid w:val="00BD3703"/>
    <w:rsid w:val="00C04784"/>
    <w:rsid w:val="00C05BA4"/>
    <w:rsid w:val="00C27BC1"/>
    <w:rsid w:val="00C456ED"/>
    <w:rsid w:val="00C45739"/>
    <w:rsid w:val="00D9373C"/>
    <w:rsid w:val="00DB1DBA"/>
    <w:rsid w:val="00DD05EB"/>
    <w:rsid w:val="00DF2D60"/>
    <w:rsid w:val="00DF7D85"/>
    <w:rsid w:val="00E03C5A"/>
    <w:rsid w:val="00E70D87"/>
    <w:rsid w:val="00F25542"/>
    <w:rsid w:val="00F50A69"/>
    <w:rsid w:val="00FF6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CBE4"/>
  <w15:docId w15:val="{3B881762-E860-46C0-907E-7C8395A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2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43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4386"/>
    <w:rPr>
      <w:b/>
      <w:bCs/>
    </w:rPr>
  </w:style>
  <w:style w:type="character" w:styleId="Hyperlink">
    <w:name w:val="Hyperlink"/>
    <w:basedOn w:val="DefaultParagraphFont"/>
    <w:unhideWhenUsed/>
    <w:rsid w:val="00E03C5A"/>
    <w:rPr>
      <w:color w:val="0563C1" w:themeColor="hyperlink"/>
      <w:u w:val="single"/>
    </w:rPr>
  </w:style>
  <w:style w:type="paragraph" w:styleId="BalloonText">
    <w:name w:val="Balloon Text"/>
    <w:basedOn w:val="Normal"/>
    <w:link w:val="BalloonTextChar"/>
    <w:uiPriority w:val="99"/>
    <w:semiHidden/>
    <w:unhideWhenUsed/>
    <w:rsid w:val="00F50A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A69"/>
    <w:rPr>
      <w:rFonts w:ascii="Tahoma" w:hAnsi="Tahoma" w:cs="Tahoma"/>
      <w:sz w:val="16"/>
      <w:szCs w:val="16"/>
    </w:rPr>
  </w:style>
  <w:style w:type="paragraph" w:styleId="ListParagraph">
    <w:name w:val="List Paragraph"/>
    <w:basedOn w:val="Normal"/>
    <w:uiPriority w:val="34"/>
    <w:qFormat/>
    <w:rsid w:val="00A66394"/>
    <w:pPr>
      <w:ind w:left="720"/>
      <w:contextualSpacing/>
    </w:pPr>
  </w:style>
  <w:style w:type="table" w:styleId="TableGrid">
    <w:name w:val="Table Grid"/>
    <w:basedOn w:val="TableNormal"/>
    <w:uiPriority w:val="59"/>
    <w:rsid w:val="00981D4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86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70302/jpsim.v7i3.2637" TargetMode="External"/><Relationship Id="rId5" Type="http://schemas.openxmlformats.org/officeDocument/2006/relationships/hyperlink" Target="mailto:dr.bilaljavaid160@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7</Pages>
  <Words>3341</Words>
  <Characters>19047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PSIM Journal</cp:lastModifiedBy>
  <cp:revision>20</cp:revision>
  <dcterms:created xsi:type="dcterms:W3CDTF">2026-07-24T05:54:00Z</dcterms:created>
  <dcterms:modified xsi:type="dcterms:W3CDTF">2026-08-12T09:30:00Z</dcterms:modified>
</cp:coreProperties>
</file>