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E1B11" w14:textId="6033A5D0" w:rsidR="00EB1C3D" w:rsidRPr="003154CB" w:rsidRDefault="00EB1C3D" w:rsidP="0060618B">
      <w:pPr>
        <w:spacing w:after="0" w:line="276" w:lineRule="auto"/>
        <w:jc w:val="center"/>
        <w:rPr>
          <w:rFonts w:ascii="Times New Roman" w:hAnsi="Times New Roman" w:cs="Times New Roman"/>
          <w:b/>
          <w:color w:val="00B050"/>
        </w:rPr>
      </w:pPr>
      <w:r w:rsidRPr="003154CB">
        <w:rPr>
          <w:rFonts w:ascii="Times New Roman" w:hAnsi="Times New Roman" w:cs="Times New Roman"/>
          <w:b/>
          <w:color w:val="00B050"/>
          <w:sz w:val="28"/>
        </w:rPr>
        <w:t>Association of Antioxidant, Inflammatory, and Glycemic Status in Patients with Diabetic Foot Ulcers in Karachi, Pakistan: A Co</w:t>
      </w:r>
      <w:r w:rsidR="0060618B" w:rsidRPr="003154CB">
        <w:rPr>
          <w:rFonts w:ascii="Times New Roman" w:hAnsi="Times New Roman" w:cs="Times New Roman"/>
          <w:b/>
          <w:color w:val="00B050"/>
          <w:sz w:val="28"/>
        </w:rPr>
        <w:t>mparative Cross-Sectional Study</w:t>
      </w:r>
    </w:p>
    <w:p w14:paraId="06B11A24" w14:textId="1B378610" w:rsidR="0060618B" w:rsidRDefault="0060618B" w:rsidP="0060618B">
      <w:pPr>
        <w:spacing w:after="0" w:line="276" w:lineRule="auto"/>
        <w:jc w:val="center"/>
        <w:rPr>
          <w:rFonts w:ascii="Times New Roman" w:hAnsi="Times New Roman" w:cs="Times New Roman"/>
          <w:b/>
        </w:rPr>
      </w:pPr>
      <w:r w:rsidRPr="0060618B">
        <w:rPr>
          <w:rFonts w:ascii="Times New Roman" w:hAnsi="Times New Roman" w:cs="Times New Roman"/>
          <w:b/>
        </w:rPr>
        <w:t xml:space="preserve">Saleem Ullah </w:t>
      </w:r>
      <w:r>
        <w:rPr>
          <w:rFonts w:ascii="Times New Roman" w:hAnsi="Times New Roman" w:cs="Times New Roman"/>
          <w:b/>
        </w:rPr>
        <w:t>A</w:t>
      </w:r>
      <w:r w:rsidRPr="0060618B">
        <w:rPr>
          <w:rFonts w:ascii="Times New Roman" w:hAnsi="Times New Roman" w:cs="Times New Roman"/>
          <w:b/>
        </w:rPr>
        <w:t>bro</w:t>
      </w:r>
      <w:r w:rsidRPr="0060618B">
        <w:rPr>
          <w:rFonts w:ascii="Times New Roman" w:hAnsi="Times New Roman" w:cs="Times New Roman"/>
          <w:b/>
          <w:vertAlign w:val="superscript"/>
        </w:rPr>
        <w:t>1</w:t>
      </w:r>
      <w:r>
        <w:rPr>
          <w:rFonts w:ascii="Times New Roman" w:hAnsi="Times New Roman" w:cs="Times New Roman"/>
          <w:b/>
        </w:rPr>
        <w:t>, Qurratulain S</w:t>
      </w:r>
      <w:r w:rsidRPr="0060618B">
        <w:rPr>
          <w:rFonts w:ascii="Times New Roman" w:hAnsi="Times New Roman" w:cs="Times New Roman"/>
          <w:b/>
        </w:rPr>
        <w:t>a</w:t>
      </w:r>
      <w:r>
        <w:rPr>
          <w:rFonts w:ascii="Times New Roman" w:hAnsi="Times New Roman" w:cs="Times New Roman"/>
          <w:b/>
        </w:rPr>
        <w:t>leem</w:t>
      </w:r>
      <w:r w:rsidRPr="0060618B">
        <w:rPr>
          <w:rFonts w:ascii="Times New Roman" w:hAnsi="Times New Roman" w:cs="Times New Roman"/>
          <w:b/>
          <w:vertAlign w:val="superscript"/>
        </w:rPr>
        <w:t>2</w:t>
      </w:r>
      <w:r>
        <w:rPr>
          <w:rFonts w:ascii="Times New Roman" w:hAnsi="Times New Roman" w:cs="Times New Roman"/>
          <w:b/>
        </w:rPr>
        <w:t>, Uzma T</w:t>
      </w:r>
      <w:r w:rsidRPr="0060618B">
        <w:rPr>
          <w:rFonts w:ascii="Times New Roman" w:hAnsi="Times New Roman" w:cs="Times New Roman"/>
          <w:b/>
        </w:rPr>
        <w:t>asneem</w:t>
      </w:r>
      <w:r w:rsidRPr="0060618B">
        <w:rPr>
          <w:rFonts w:ascii="Times New Roman" w:hAnsi="Times New Roman" w:cs="Times New Roman"/>
          <w:b/>
          <w:vertAlign w:val="superscript"/>
        </w:rPr>
        <w:t>2</w:t>
      </w:r>
      <w:r>
        <w:rPr>
          <w:rFonts w:ascii="Times New Roman" w:hAnsi="Times New Roman" w:cs="Times New Roman"/>
          <w:b/>
        </w:rPr>
        <w:t xml:space="preserve">, </w:t>
      </w:r>
      <w:r w:rsidRPr="0060618B">
        <w:rPr>
          <w:rFonts w:ascii="Times New Roman" w:hAnsi="Times New Roman" w:cs="Times New Roman"/>
          <w:b/>
        </w:rPr>
        <w:t>Jahanzaib Lashari</w:t>
      </w:r>
      <w:r>
        <w:rPr>
          <w:rFonts w:ascii="Times New Roman" w:hAnsi="Times New Roman" w:cs="Times New Roman"/>
          <w:b/>
          <w:vertAlign w:val="superscript"/>
        </w:rPr>
        <w:t>3</w:t>
      </w:r>
      <w:r>
        <w:rPr>
          <w:rFonts w:ascii="Times New Roman" w:hAnsi="Times New Roman" w:cs="Times New Roman"/>
          <w:b/>
        </w:rPr>
        <w:t xml:space="preserve">, </w:t>
      </w:r>
      <w:r w:rsidRPr="0060618B">
        <w:rPr>
          <w:rFonts w:ascii="Times New Roman" w:hAnsi="Times New Roman" w:cs="Times New Roman"/>
          <w:b/>
        </w:rPr>
        <w:t>Beena Zahra</w:t>
      </w:r>
      <w:r w:rsidRPr="0060618B">
        <w:rPr>
          <w:rFonts w:ascii="Times New Roman" w:hAnsi="Times New Roman" w:cs="Times New Roman"/>
          <w:b/>
          <w:vertAlign w:val="superscript"/>
        </w:rPr>
        <w:t>2</w:t>
      </w:r>
      <w:r>
        <w:rPr>
          <w:rFonts w:ascii="Times New Roman" w:hAnsi="Times New Roman" w:cs="Times New Roman"/>
          <w:b/>
        </w:rPr>
        <w:t xml:space="preserve">, </w:t>
      </w:r>
      <w:r w:rsidRPr="0060618B">
        <w:rPr>
          <w:rFonts w:ascii="Times New Roman" w:hAnsi="Times New Roman" w:cs="Times New Roman"/>
          <w:b/>
        </w:rPr>
        <w:t>Rafay Ahmed Siddiqui</w:t>
      </w:r>
      <w:r w:rsidRPr="0060618B">
        <w:rPr>
          <w:rFonts w:ascii="Times New Roman" w:hAnsi="Times New Roman" w:cs="Times New Roman"/>
          <w:b/>
          <w:vertAlign w:val="superscript"/>
        </w:rPr>
        <w:t>1</w:t>
      </w:r>
    </w:p>
    <w:p w14:paraId="22440410" w14:textId="55ED6331" w:rsidR="0060618B" w:rsidRPr="0060618B" w:rsidRDefault="0060618B" w:rsidP="0060618B">
      <w:pPr>
        <w:spacing w:after="0" w:line="276" w:lineRule="auto"/>
        <w:jc w:val="center"/>
        <w:rPr>
          <w:rFonts w:ascii="Times New Roman" w:hAnsi="Times New Roman" w:cs="Times New Roman"/>
          <w:i/>
        </w:rPr>
      </w:pPr>
      <w:r w:rsidRPr="0060618B">
        <w:rPr>
          <w:rFonts w:ascii="Times New Roman" w:hAnsi="Times New Roman" w:cs="Times New Roman"/>
          <w:i/>
          <w:vertAlign w:val="superscript"/>
        </w:rPr>
        <w:t>1</w:t>
      </w:r>
      <w:r w:rsidRPr="0060618B">
        <w:rPr>
          <w:rFonts w:ascii="Times New Roman" w:hAnsi="Times New Roman" w:cs="Times New Roman"/>
          <w:i/>
        </w:rPr>
        <w:t xml:space="preserve">Baqai Medical University Karachi, </w:t>
      </w:r>
      <w:r w:rsidRPr="0060618B">
        <w:rPr>
          <w:rFonts w:ascii="Times New Roman" w:hAnsi="Times New Roman" w:cs="Times New Roman"/>
          <w:i/>
          <w:vertAlign w:val="superscript"/>
        </w:rPr>
        <w:t>2</w:t>
      </w:r>
      <w:r w:rsidRPr="0060618B">
        <w:rPr>
          <w:rFonts w:ascii="Times New Roman" w:hAnsi="Times New Roman" w:cs="Times New Roman"/>
          <w:i/>
        </w:rPr>
        <w:t xml:space="preserve">Karachi Medical and Dental College, Karachi Metropolitan University, </w:t>
      </w:r>
      <w:r w:rsidRPr="0060618B">
        <w:rPr>
          <w:rFonts w:ascii="Times New Roman" w:hAnsi="Times New Roman" w:cs="Times New Roman"/>
          <w:i/>
          <w:vertAlign w:val="superscript"/>
        </w:rPr>
        <w:t>3</w:t>
      </w:r>
      <w:r w:rsidRPr="0060618B">
        <w:rPr>
          <w:rFonts w:ascii="Times New Roman" w:hAnsi="Times New Roman" w:cs="Times New Roman"/>
          <w:i/>
        </w:rPr>
        <w:t>Jhalawan Medical Colege Khuzdar</w:t>
      </w:r>
    </w:p>
    <w:p w14:paraId="0F03207A" w14:textId="77777777" w:rsidR="0060618B" w:rsidRPr="0060618B" w:rsidRDefault="0060618B" w:rsidP="0060618B">
      <w:pPr>
        <w:spacing w:after="0" w:line="276" w:lineRule="auto"/>
        <w:jc w:val="both"/>
        <w:rPr>
          <w:rFonts w:ascii="Times New Roman" w:hAnsi="Times New Roman" w:cs="Times New Roman"/>
          <w:b/>
        </w:rPr>
      </w:pPr>
    </w:p>
    <w:p w14:paraId="14794F34" w14:textId="77777777" w:rsidR="00F07C64" w:rsidRPr="0060618B" w:rsidRDefault="00F07C64" w:rsidP="0060618B">
      <w:pPr>
        <w:spacing w:after="0" w:line="276" w:lineRule="auto"/>
        <w:jc w:val="both"/>
        <w:rPr>
          <w:rFonts w:ascii="Times New Roman" w:hAnsi="Times New Roman" w:cs="Times New Roman"/>
          <w:b/>
        </w:rPr>
      </w:pPr>
    </w:p>
    <w:p w14:paraId="0CE03A96" w14:textId="4354B167" w:rsidR="00F07C64" w:rsidRPr="00786E87" w:rsidRDefault="00786E87" w:rsidP="0060618B">
      <w:pPr>
        <w:spacing w:after="0" w:line="276" w:lineRule="auto"/>
        <w:jc w:val="both"/>
        <w:rPr>
          <w:rFonts w:ascii="Times New Roman" w:hAnsi="Times New Roman" w:cs="Times New Roman"/>
          <w:b/>
          <w:sz w:val="20"/>
          <w:szCs w:val="20"/>
        </w:rPr>
      </w:pPr>
      <w:r w:rsidRPr="00786E87">
        <w:rPr>
          <w:rFonts w:ascii="Times New Roman" w:hAnsi="Times New Roman" w:cs="Times New Roman"/>
          <w:b/>
          <w:sz w:val="20"/>
          <w:szCs w:val="20"/>
        </w:rPr>
        <w:t>Abstract</w:t>
      </w:r>
      <w:r w:rsidR="00507916" w:rsidRPr="00786E87">
        <w:rPr>
          <w:rFonts w:ascii="Times New Roman" w:hAnsi="Times New Roman" w:cs="Times New Roman"/>
          <w:b/>
          <w:sz w:val="20"/>
          <w:szCs w:val="20"/>
        </w:rPr>
        <w:t xml:space="preserve"> </w:t>
      </w:r>
    </w:p>
    <w:p w14:paraId="113444EB" w14:textId="75F61355" w:rsidR="00F07C64" w:rsidRPr="00786E87" w:rsidRDefault="00F07C64" w:rsidP="0060618B">
      <w:pPr>
        <w:spacing w:after="0" w:line="276" w:lineRule="auto"/>
        <w:jc w:val="both"/>
        <w:rPr>
          <w:rFonts w:ascii="Times New Roman" w:hAnsi="Times New Roman" w:cs="Times New Roman"/>
          <w:sz w:val="20"/>
          <w:szCs w:val="20"/>
        </w:rPr>
      </w:pPr>
      <w:r w:rsidRPr="00786E87">
        <w:rPr>
          <w:rFonts w:ascii="Times New Roman" w:hAnsi="Times New Roman" w:cs="Times New Roman"/>
          <w:b/>
          <w:sz w:val="20"/>
          <w:szCs w:val="20"/>
        </w:rPr>
        <w:t>Objective:</w:t>
      </w:r>
      <w:r w:rsidRPr="00786E87">
        <w:rPr>
          <w:rFonts w:ascii="Times New Roman" w:hAnsi="Times New Roman" w:cs="Times New Roman"/>
          <w:sz w:val="20"/>
          <w:szCs w:val="20"/>
        </w:rPr>
        <w:t xml:space="preserve"> </w:t>
      </w:r>
      <w:r w:rsidR="003F6FFF" w:rsidRPr="00786E87">
        <w:rPr>
          <w:rFonts w:ascii="Times New Roman" w:hAnsi="Times New Roman" w:cs="Times New Roman"/>
          <w:sz w:val="20"/>
          <w:szCs w:val="20"/>
        </w:rPr>
        <w:t>T</w:t>
      </w:r>
      <w:r w:rsidRPr="00786E87">
        <w:rPr>
          <w:rFonts w:ascii="Times New Roman" w:hAnsi="Times New Roman" w:cs="Times New Roman"/>
          <w:sz w:val="20"/>
          <w:szCs w:val="20"/>
        </w:rPr>
        <w:t xml:space="preserve">o evaluate the association of antioxidant, inflammatory, and glycemic status in </w:t>
      </w:r>
      <w:r w:rsidR="00AB7166" w:rsidRPr="00786E87">
        <w:rPr>
          <w:rFonts w:ascii="Times New Roman" w:hAnsi="Times New Roman" w:cs="Times New Roman"/>
          <w:sz w:val="20"/>
          <w:szCs w:val="20"/>
        </w:rPr>
        <w:t xml:space="preserve">Patients with diabetic foot ulcers </w:t>
      </w:r>
      <w:r w:rsidRPr="00786E87">
        <w:rPr>
          <w:rFonts w:ascii="Times New Roman" w:hAnsi="Times New Roman" w:cs="Times New Roman"/>
          <w:sz w:val="20"/>
          <w:szCs w:val="20"/>
        </w:rPr>
        <w:t>in Karachi, Pakistan.</w:t>
      </w:r>
    </w:p>
    <w:p w14:paraId="6B442B60" w14:textId="3B1A4CA0" w:rsidR="00F07C64" w:rsidRPr="00786E87" w:rsidRDefault="00674A6B" w:rsidP="0060618B">
      <w:pPr>
        <w:spacing w:after="0" w:line="276" w:lineRule="auto"/>
        <w:jc w:val="both"/>
        <w:rPr>
          <w:rFonts w:ascii="Times New Roman" w:hAnsi="Times New Roman" w:cs="Times New Roman"/>
          <w:sz w:val="20"/>
          <w:szCs w:val="20"/>
        </w:rPr>
      </w:pPr>
      <w:r w:rsidRPr="00786E87">
        <w:rPr>
          <w:rFonts w:ascii="Times New Roman" w:hAnsi="Times New Roman" w:cs="Times New Roman"/>
          <w:b/>
          <w:sz w:val="20"/>
          <w:szCs w:val="20"/>
        </w:rPr>
        <w:t>Methods:</w:t>
      </w:r>
      <w:r w:rsidRPr="00786E87">
        <w:rPr>
          <w:rFonts w:ascii="Times New Roman" w:hAnsi="Times New Roman" w:cs="Times New Roman"/>
          <w:sz w:val="20"/>
          <w:szCs w:val="20"/>
        </w:rPr>
        <w:t xml:space="preserve"> </w:t>
      </w:r>
      <w:r w:rsidR="00E53CCA" w:rsidRPr="00786E87">
        <w:rPr>
          <w:rFonts w:ascii="Times New Roman" w:hAnsi="Times New Roman" w:cs="Times New Roman"/>
          <w:sz w:val="20"/>
          <w:szCs w:val="20"/>
        </w:rPr>
        <w:t>A co</w:t>
      </w:r>
      <w:r w:rsidRPr="00786E87">
        <w:rPr>
          <w:rFonts w:ascii="Times New Roman" w:hAnsi="Times New Roman" w:cs="Times New Roman"/>
          <w:sz w:val="20"/>
          <w:szCs w:val="20"/>
        </w:rPr>
        <w:t xml:space="preserve">mparative cross-sectional </w:t>
      </w:r>
      <w:r w:rsidR="00C218ED" w:rsidRPr="00786E87">
        <w:rPr>
          <w:rFonts w:ascii="Times New Roman" w:hAnsi="Times New Roman" w:cs="Times New Roman"/>
          <w:sz w:val="20"/>
          <w:szCs w:val="20"/>
        </w:rPr>
        <w:t xml:space="preserve">study was conducted at the Department of Physiology in collaboration with the </w:t>
      </w:r>
      <w:r w:rsidR="00680997" w:rsidRPr="00786E87">
        <w:rPr>
          <w:rStyle w:val="Strong"/>
          <w:rFonts w:ascii="Times New Roman" w:hAnsi="Times New Roman" w:cs="Times New Roman"/>
          <w:b w:val="0"/>
          <w:bCs w:val="0"/>
          <w:sz w:val="20"/>
          <w:szCs w:val="20"/>
        </w:rPr>
        <w:t>Baqai Institute o</w:t>
      </w:r>
      <w:r w:rsidR="006166AA" w:rsidRPr="00786E87">
        <w:rPr>
          <w:rStyle w:val="Strong"/>
          <w:rFonts w:ascii="Times New Roman" w:hAnsi="Times New Roman" w:cs="Times New Roman"/>
          <w:b w:val="0"/>
          <w:bCs w:val="0"/>
          <w:sz w:val="20"/>
          <w:szCs w:val="20"/>
        </w:rPr>
        <w:t>f Diabetology and Endocrinology</w:t>
      </w:r>
      <w:r w:rsidR="00C218ED" w:rsidRPr="00786E87">
        <w:rPr>
          <w:rFonts w:ascii="Times New Roman" w:hAnsi="Times New Roman" w:cs="Times New Roman"/>
          <w:sz w:val="20"/>
          <w:szCs w:val="20"/>
        </w:rPr>
        <w:t xml:space="preserve">, </w:t>
      </w:r>
      <w:r w:rsidR="00680997" w:rsidRPr="00786E87">
        <w:rPr>
          <w:rStyle w:val="Strong"/>
          <w:rFonts w:ascii="Times New Roman" w:hAnsi="Times New Roman" w:cs="Times New Roman"/>
          <w:b w:val="0"/>
          <w:bCs w:val="0"/>
          <w:sz w:val="20"/>
          <w:szCs w:val="20"/>
        </w:rPr>
        <w:t xml:space="preserve">Baqai Medical University, </w:t>
      </w:r>
      <w:r w:rsidR="00C218ED" w:rsidRPr="00786E87">
        <w:rPr>
          <w:rFonts w:ascii="Times New Roman" w:hAnsi="Times New Roman" w:cs="Times New Roman"/>
          <w:sz w:val="20"/>
          <w:szCs w:val="20"/>
        </w:rPr>
        <w:t>Karachi, from June 2023 to June 2024. A total of 138 participants were enrolled and grouped into healthy controls, type 2 diabetic</w:t>
      </w:r>
      <w:r w:rsidR="0010419F" w:rsidRPr="00786E87">
        <w:rPr>
          <w:rFonts w:ascii="Times New Roman" w:hAnsi="Times New Roman" w:cs="Times New Roman"/>
          <w:sz w:val="20"/>
          <w:szCs w:val="20"/>
        </w:rPr>
        <w:t>s</w:t>
      </w:r>
      <w:r w:rsidR="00C218ED" w:rsidRPr="00786E87">
        <w:rPr>
          <w:rFonts w:ascii="Times New Roman" w:hAnsi="Times New Roman" w:cs="Times New Roman"/>
          <w:sz w:val="20"/>
          <w:szCs w:val="20"/>
        </w:rPr>
        <w:t>, and type 2 diabetic</w:t>
      </w:r>
      <w:r w:rsidR="0010419F" w:rsidRPr="00786E87">
        <w:rPr>
          <w:rFonts w:ascii="Times New Roman" w:hAnsi="Times New Roman" w:cs="Times New Roman"/>
          <w:sz w:val="20"/>
          <w:szCs w:val="20"/>
        </w:rPr>
        <w:t>s</w:t>
      </w:r>
      <w:r w:rsidR="00C218ED" w:rsidRPr="00786E87">
        <w:rPr>
          <w:rFonts w:ascii="Times New Roman" w:hAnsi="Times New Roman" w:cs="Times New Roman"/>
          <w:sz w:val="20"/>
          <w:szCs w:val="20"/>
        </w:rPr>
        <w:t xml:space="preserve"> with foot </w:t>
      </w:r>
      <w:r w:rsidR="0010419F" w:rsidRPr="00786E87">
        <w:rPr>
          <w:rFonts w:ascii="Times New Roman" w:hAnsi="Times New Roman" w:cs="Times New Roman"/>
          <w:sz w:val="20"/>
          <w:szCs w:val="20"/>
        </w:rPr>
        <w:t>ulcers. Type 1 diabetic</w:t>
      </w:r>
      <w:r w:rsidR="007B4D92" w:rsidRPr="00786E87">
        <w:rPr>
          <w:rFonts w:ascii="Times New Roman" w:hAnsi="Times New Roman" w:cs="Times New Roman"/>
          <w:sz w:val="20"/>
          <w:szCs w:val="20"/>
        </w:rPr>
        <w:t xml:space="preserve"> patients</w:t>
      </w:r>
      <w:r w:rsidR="0010419F" w:rsidRPr="00786E87">
        <w:rPr>
          <w:rFonts w:ascii="Times New Roman" w:hAnsi="Times New Roman" w:cs="Times New Roman"/>
          <w:sz w:val="20"/>
          <w:szCs w:val="20"/>
        </w:rPr>
        <w:t xml:space="preserve"> </w:t>
      </w:r>
      <w:r w:rsidR="00C218ED" w:rsidRPr="00786E87">
        <w:rPr>
          <w:rFonts w:ascii="Times New Roman" w:hAnsi="Times New Roman" w:cs="Times New Roman"/>
          <w:sz w:val="20"/>
          <w:szCs w:val="20"/>
        </w:rPr>
        <w:t xml:space="preserve">were excluded. Glycemic parameters, including fasting blood glucose (FBG) and glycated hemoglobin (HbA1c), the oxidative stress marker superoxide dismutase (SOD), inflammatory </w:t>
      </w:r>
      <w:r w:rsidR="009829F8" w:rsidRPr="00786E87">
        <w:rPr>
          <w:rFonts w:ascii="Times New Roman" w:hAnsi="Times New Roman" w:cs="Times New Roman"/>
          <w:sz w:val="20"/>
          <w:szCs w:val="20"/>
        </w:rPr>
        <w:t>bio</w:t>
      </w:r>
      <w:r w:rsidR="00C218ED" w:rsidRPr="00786E87">
        <w:rPr>
          <w:rFonts w:ascii="Times New Roman" w:hAnsi="Times New Roman" w:cs="Times New Roman"/>
          <w:sz w:val="20"/>
          <w:szCs w:val="20"/>
        </w:rPr>
        <w:t xml:space="preserve">markers, including C-reactive protein (CRP), complete blood count parameters, and the neutrophil-to-lymphocyte ratio (NLR) were assessed. SOD was measured by </w:t>
      </w:r>
      <w:r w:rsidR="008A5EED" w:rsidRPr="00786E87">
        <w:rPr>
          <w:rFonts w:ascii="Times New Roman" w:hAnsi="Times New Roman" w:cs="Times New Roman"/>
          <w:sz w:val="20"/>
          <w:szCs w:val="20"/>
        </w:rPr>
        <w:t>ELISA</w:t>
      </w:r>
      <w:r w:rsidR="00C218ED" w:rsidRPr="00786E87">
        <w:rPr>
          <w:rFonts w:ascii="Times New Roman" w:hAnsi="Times New Roman" w:cs="Times New Roman"/>
          <w:sz w:val="20"/>
          <w:szCs w:val="20"/>
        </w:rPr>
        <w:t xml:space="preserve">, HbA1c by </w:t>
      </w:r>
      <w:r w:rsidR="008A5EED" w:rsidRPr="00786E87">
        <w:rPr>
          <w:rFonts w:ascii="Times New Roman" w:hAnsi="Times New Roman" w:cs="Times New Roman"/>
          <w:sz w:val="20"/>
          <w:szCs w:val="20"/>
        </w:rPr>
        <w:t>HPLC</w:t>
      </w:r>
      <w:r w:rsidR="00C218ED" w:rsidRPr="00786E87">
        <w:rPr>
          <w:rFonts w:ascii="Times New Roman" w:hAnsi="Times New Roman" w:cs="Times New Roman"/>
          <w:sz w:val="20"/>
          <w:szCs w:val="20"/>
        </w:rPr>
        <w:t>, and CRP by immunoturbidi</w:t>
      </w:r>
      <w:r w:rsidR="00C3767E" w:rsidRPr="00786E87">
        <w:rPr>
          <w:rFonts w:ascii="Times New Roman" w:hAnsi="Times New Roman" w:cs="Times New Roman"/>
          <w:sz w:val="20"/>
          <w:szCs w:val="20"/>
        </w:rPr>
        <w:t xml:space="preserve">metry. Statistical analysis was </w:t>
      </w:r>
      <w:r w:rsidR="00C218ED" w:rsidRPr="00786E87">
        <w:rPr>
          <w:rFonts w:ascii="Times New Roman" w:hAnsi="Times New Roman" w:cs="Times New Roman"/>
          <w:sz w:val="20"/>
          <w:szCs w:val="20"/>
        </w:rPr>
        <w:t>performed using IBM SPSS version 23.0.</w:t>
      </w:r>
    </w:p>
    <w:p w14:paraId="34CEB935" w14:textId="08E42EF5" w:rsidR="003D2578" w:rsidRPr="00786E87" w:rsidRDefault="0002657A" w:rsidP="0060618B">
      <w:pPr>
        <w:spacing w:after="0" w:line="276" w:lineRule="auto"/>
        <w:jc w:val="both"/>
        <w:rPr>
          <w:rFonts w:ascii="Times New Roman" w:hAnsi="Times New Roman" w:cs="Times New Roman"/>
          <w:sz w:val="20"/>
          <w:szCs w:val="20"/>
        </w:rPr>
      </w:pPr>
      <w:r w:rsidRPr="00786E87">
        <w:rPr>
          <w:rFonts w:ascii="Times New Roman" w:hAnsi="Times New Roman" w:cs="Times New Roman"/>
          <w:b/>
          <w:sz w:val="20"/>
          <w:szCs w:val="20"/>
        </w:rPr>
        <w:t>Results</w:t>
      </w:r>
      <w:r w:rsidR="00F07C64" w:rsidRPr="00786E87">
        <w:rPr>
          <w:rFonts w:ascii="Times New Roman" w:hAnsi="Times New Roman" w:cs="Times New Roman"/>
          <w:b/>
          <w:sz w:val="20"/>
          <w:szCs w:val="20"/>
        </w:rPr>
        <w:t>:</w:t>
      </w:r>
      <w:r w:rsidR="00F07C64" w:rsidRPr="00786E87">
        <w:rPr>
          <w:rFonts w:ascii="Times New Roman" w:hAnsi="Times New Roman" w:cs="Times New Roman"/>
          <w:sz w:val="20"/>
          <w:szCs w:val="20"/>
        </w:rPr>
        <w:t xml:space="preserve"> </w:t>
      </w:r>
      <w:r w:rsidR="009829F8" w:rsidRPr="00786E87">
        <w:rPr>
          <w:rFonts w:ascii="Times New Roman" w:hAnsi="Times New Roman" w:cs="Times New Roman"/>
          <w:sz w:val="20"/>
          <w:szCs w:val="20"/>
        </w:rPr>
        <w:t xml:space="preserve">Median </w:t>
      </w:r>
      <w:r w:rsidR="003D2578" w:rsidRPr="00786E87">
        <w:rPr>
          <w:rFonts w:ascii="Times New Roman" w:hAnsi="Times New Roman" w:cs="Times New Roman"/>
          <w:sz w:val="20"/>
          <w:szCs w:val="20"/>
        </w:rPr>
        <w:t>FBG, HbA1c, SOD, CRP, TLC, neutrophil percentage,</w:t>
      </w:r>
      <w:r w:rsidR="009829F8" w:rsidRPr="00786E87">
        <w:rPr>
          <w:rFonts w:ascii="Times New Roman" w:hAnsi="Times New Roman" w:cs="Times New Roman"/>
          <w:sz w:val="20"/>
          <w:szCs w:val="20"/>
        </w:rPr>
        <w:t xml:space="preserve"> lymphocyte percentage, and NLR</w:t>
      </w:r>
      <w:r w:rsidR="003D2578" w:rsidRPr="00786E87">
        <w:rPr>
          <w:rFonts w:ascii="Times New Roman" w:hAnsi="Times New Roman" w:cs="Times New Roman"/>
          <w:sz w:val="20"/>
          <w:szCs w:val="20"/>
        </w:rPr>
        <w:t xml:space="preserve"> </w:t>
      </w:r>
      <w:r w:rsidR="009829F8" w:rsidRPr="00786E87">
        <w:rPr>
          <w:rFonts w:ascii="Times New Roman" w:hAnsi="Times New Roman" w:cs="Times New Roman"/>
          <w:sz w:val="20"/>
          <w:szCs w:val="20"/>
        </w:rPr>
        <w:t xml:space="preserve">differed significantly </w:t>
      </w:r>
      <w:r w:rsidR="00C1729A" w:rsidRPr="00786E87">
        <w:rPr>
          <w:rFonts w:ascii="Times New Roman" w:hAnsi="Times New Roman" w:cs="Times New Roman"/>
          <w:sz w:val="20"/>
          <w:szCs w:val="20"/>
        </w:rPr>
        <w:t>among the three groups by applying</w:t>
      </w:r>
      <w:r w:rsidR="003D2578" w:rsidRPr="00786E87">
        <w:rPr>
          <w:rFonts w:ascii="Times New Roman" w:hAnsi="Times New Roman" w:cs="Times New Roman"/>
          <w:sz w:val="20"/>
          <w:szCs w:val="20"/>
        </w:rPr>
        <w:t xml:space="preserve"> </w:t>
      </w:r>
      <w:r w:rsidR="008A5EED" w:rsidRPr="00786E87">
        <w:rPr>
          <w:rFonts w:ascii="Times New Roman" w:hAnsi="Times New Roman" w:cs="Times New Roman"/>
          <w:sz w:val="20"/>
          <w:szCs w:val="20"/>
        </w:rPr>
        <w:t xml:space="preserve">the </w:t>
      </w:r>
      <w:r w:rsidR="003D2578" w:rsidRPr="00786E87">
        <w:rPr>
          <w:rFonts w:ascii="Times New Roman" w:hAnsi="Times New Roman" w:cs="Times New Roman"/>
          <w:sz w:val="20"/>
          <w:szCs w:val="20"/>
        </w:rPr>
        <w:t>Kruskal–Wallis test</w:t>
      </w:r>
      <w:r w:rsidR="006166AA" w:rsidRPr="00786E87">
        <w:rPr>
          <w:rFonts w:ascii="Times New Roman" w:hAnsi="Times New Roman" w:cs="Times New Roman"/>
          <w:sz w:val="20"/>
          <w:szCs w:val="20"/>
        </w:rPr>
        <w:t xml:space="preserve">, and Dunnett’s T3 post hoc analysis showed </w:t>
      </w:r>
      <w:r w:rsidR="00C3767E" w:rsidRPr="00786E87">
        <w:rPr>
          <w:rFonts w:ascii="Times New Roman" w:hAnsi="Times New Roman" w:cs="Times New Roman"/>
          <w:sz w:val="20"/>
          <w:szCs w:val="20"/>
        </w:rPr>
        <w:t xml:space="preserve">a </w:t>
      </w:r>
      <w:r w:rsidR="00C1729A" w:rsidRPr="00786E87">
        <w:rPr>
          <w:rFonts w:ascii="Times New Roman" w:hAnsi="Times New Roman" w:cs="Times New Roman"/>
          <w:sz w:val="20"/>
          <w:szCs w:val="20"/>
        </w:rPr>
        <w:t xml:space="preserve">significant difference </w:t>
      </w:r>
      <w:r w:rsidR="006166AA" w:rsidRPr="00786E87">
        <w:rPr>
          <w:rFonts w:ascii="Times New Roman" w:hAnsi="Times New Roman" w:cs="Times New Roman"/>
          <w:sz w:val="20"/>
          <w:szCs w:val="20"/>
        </w:rPr>
        <w:t xml:space="preserve">(p &lt; 0.001) in SOD levels among the three groups. </w:t>
      </w:r>
      <w:r w:rsidR="00D4351A" w:rsidRPr="00786E87">
        <w:rPr>
          <w:rFonts w:ascii="Times New Roman" w:hAnsi="Times New Roman" w:cs="Times New Roman"/>
          <w:sz w:val="20"/>
          <w:szCs w:val="20"/>
        </w:rPr>
        <w:t xml:space="preserve">HbA1c (OR=89.0; 95% CI:11.6–680), CRP (OR=1.08; 95% CI:1.02–1.13), and NLR (OR=1.86; 95% CI:1.28–2.71) were significant risk factors for DFU, whereas higher SOD levels (OR=0.87; 95% CI:0.84–0.91) </w:t>
      </w:r>
      <w:r w:rsidR="00C53B18" w:rsidRPr="00786E87">
        <w:rPr>
          <w:rFonts w:ascii="Times New Roman" w:hAnsi="Times New Roman" w:cs="Times New Roman"/>
          <w:sz w:val="20"/>
          <w:szCs w:val="20"/>
        </w:rPr>
        <w:t>showed a protective association by Multinomial logistic regression.</w:t>
      </w:r>
    </w:p>
    <w:p w14:paraId="727562B7" w14:textId="265D6D86" w:rsidR="00EC5929" w:rsidRPr="00786E87" w:rsidRDefault="00F07C64" w:rsidP="0060618B">
      <w:pPr>
        <w:spacing w:after="0" w:line="276" w:lineRule="auto"/>
        <w:jc w:val="both"/>
        <w:rPr>
          <w:rFonts w:ascii="Times New Roman" w:hAnsi="Times New Roman" w:cs="Times New Roman"/>
          <w:sz w:val="20"/>
          <w:szCs w:val="20"/>
        </w:rPr>
      </w:pPr>
      <w:r w:rsidRPr="00786E87">
        <w:rPr>
          <w:rFonts w:ascii="Times New Roman" w:hAnsi="Times New Roman" w:cs="Times New Roman"/>
          <w:b/>
          <w:sz w:val="20"/>
          <w:szCs w:val="20"/>
        </w:rPr>
        <w:t>Conclusion:</w:t>
      </w:r>
      <w:r w:rsidRPr="00786E87">
        <w:rPr>
          <w:rFonts w:ascii="Times New Roman" w:hAnsi="Times New Roman" w:cs="Times New Roman"/>
          <w:sz w:val="20"/>
          <w:szCs w:val="20"/>
        </w:rPr>
        <w:t xml:space="preserve"> </w:t>
      </w:r>
      <w:r w:rsidR="00C16D72" w:rsidRPr="00786E87">
        <w:rPr>
          <w:rFonts w:ascii="Times New Roman" w:hAnsi="Times New Roman" w:cs="Times New Roman"/>
          <w:sz w:val="20"/>
          <w:szCs w:val="20"/>
        </w:rPr>
        <w:t>P</w:t>
      </w:r>
      <w:r w:rsidR="00EC5929" w:rsidRPr="00786E87">
        <w:rPr>
          <w:rFonts w:ascii="Times New Roman" w:hAnsi="Times New Roman" w:cs="Times New Roman"/>
          <w:sz w:val="20"/>
          <w:szCs w:val="20"/>
        </w:rPr>
        <w:t>oor glycemic control, increased systemic inflammation, and reduced antioxidant defense</w:t>
      </w:r>
      <w:r w:rsidR="00680997" w:rsidRPr="00786E87">
        <w:rPr>
          <w:rFonts w:ascii="Times New Roman" w:hAnsi="Times New Roman" w:cs="Times New Roman"/>
          <w:sz w:val="20"/>
          <w:szCs w:val="20"/>
        </w:rPr>
        <w:t xml:space="preserve"> in DFU patients </w:t>
      </w:r>
      <w:r w:rsidR="00EC5929" w:rsidRPr="00786E87">
        <w:rPr>
          <w:rFonts w:ascii="Times New Roman" w:hAnsi="Times New Roman" w:cs="Times New Roman"/>
          <w:sz w:val="20"/>
          <w:szCs w:val="20"/>
        </w:rPr>
        <w:t>play a critical role in the dev</w:t>
      </w:r>
      <w:r w:rsidR="008A5EED" w:rsidRPr="00786E87">
        <w:rPr>
          <w:rFonts w:ascii="Times New Roman" w:hAnsi="Times New Roman" w:cs="Times New Roman"/>
          <w:sz w:val="20"/>
          <w:szCs w:val="20"/>
        </w:rPr>
        <w:t>elopment of foot ulcers</w:t>
      </w:r>
      <w:r w:rsidR="00EC5929" w:rsidRPr="00786E87">
        <w:rPr>
          <w:rFonts w:ascii="Times New Roman" w:hAnsi="Times New Roman" w:cs="Times New Roman"/>
          <w:sz w:val="20"/>
          <w:szCs w:val="20"/>
        </w:rPr>
        <w:t xml:space="preserve"> in diabetic patients. </w:t>
      </w:r>
    </w:p>
    <w:p w14:paraId="779A2A14" w14:textId="7AFA6F23" w:rsidR="00EA0D0B" w:rsidRPr="00786E87" w:rsidRDefault="00F07C64" w:rsidP="0060618B">
      <w:pPr>
        <w:spacing w:after="0" w:line="276" w:lineRule="auto"/>
        <w:jc w:val="both"/>
        <w:rPr>
          <w:rFonts w:ascii="Times New Roman" w:hAnsi="Times New Roman" w:cs="Times New Roman"/>
          <w:sz w:val="20"/>
          <w:szCs w:val="20"/>
        </w:rPr>
      </w:pPr>
      <w:r w:rsidRPr="00786E87">
        <w:rPr>
          <w:rFonts w:ascii="Times New Roman" w:hAnsi="Times New Roman" w:cs="Times New Roman"/>
          <w:b/>
          <w:sz w:val="20"/>
          <w:szCs w:val="20"/>
        </w:rPr>
        <w:t>Keywords:</w:t>
      </w:r>
      <w:r w:rsidRPr="00786E87">
        <w:rPr>
          <w:rFonts w:ascii="Times New Roman" w:hAnsi="Times New Roman" w:cs="Times New Roman"/>
          <w:sz w:val="20"/>
          <w:szCs w:val="20"/>
        </w:rPr>
        <w:t xml:space="preserve"> C-reactive protein, diabetes mellitus, fasting blood sugar, foot ulcer, and superoxide dismutase.</w:t>
      </w:r>
    </w:p>
    <w:p w14:paraId="42AA4DE3" w14:textId="77777777" w:rsidR="00786E87" w:rsidRPr="00786E87" w:rsidRDefault="00786E87" w:rsidP="00786E87">
      <w:pPr>
        <w:spacing w:after="0"/>
        <w:jc w:val="both"/>
        <w:rPr>
          <w:rFonts w:ascii="Times New Roman" w:hAnsi="Times New Roman" w:cs="Times New Roman"/>
          <w:b/>
          <w:bCs/>
          <w:sz w:val="20"/>
          <w:szCs w:val="20"/>
        </w:rPr>
      </w:pPr>
      <w:r w:rsidRPr="00786E87">
        <w:rPr>
          <w:rFonts w:ascii="Times New Roman" w:hAnsi="Times New Roman" w:cs="Times New Roman"/>
          <w:b/>
          <w:bCs/>
          <w:sz w:val="20"/>
          <w:szCs w:val="20"/>
        </w:rPr>
        <w:t xml:space="preserve">How to cite this: </w:t>
      </w:r>
    </w:p>
    <w:p w14:paraId="1A7AD2F6" w14:textId="77777777" w:rsidR="00786E87" w:rsidRPr="00786E87" w:rsidRDefault="00786E87" w:rsidP="00786E87">
      <w:pPr>
        <w:spacing w:after="0"/>
        <w:jc w:val="both"/>
        <w:rPr>
          <w:rFonts w:ascii="Times New Roman" w:hAnsi="Times New Roman" w:cs="Times New Roman"/>
          <w:b/>
          <w:bCs/>
          <w:sz w:val="20"/>
          <w:szCs w:val="20"/>
        </w:rPr>
      </w:pPr>
      <w:r w:rsidRPr="00786E87">
        <w:rPr>
          <w:rFonts w:ascii="Times New Roman" w:hAnsi="Times New Roman" w:cs="Times New Roman"/>
          <w:sz w:val="20"/>
          <w:szCs w:val="20"/>
        </w:rPr>
        <w:t>Abro SU, Saleem Q, Tasneem U, Lashari J, Zahra B, Siddiqui RA. Association of Antioxidant, Inflammatory, and Glycemic Status in Patients with Diabetic Foot Ulcers in Karachi, Pakistan: A Comparative Cross-Sectional Study. J Pak Soc Intern Med. 2026;7(3):</w:t>
      </w:r>
    </w:p>
    <w:p w14:paraId="74FBE481" w14:textId="77777777" w:rsidR="00786E87" w:rsidRPr="00786E87" w:rsidRDefault="00786E87" w:rsidP="00786E87">
      <w:pPr>
        <w:spacing w:after="0"/>
        <w:jc w:val="both"/>
        <w:rPr>
          <w:rFonts w:ascii="Times New Roman" w:hAnsi="Times New Roman" w:cs="Times New Roman"/>
          <w:sz w:val="20"/>
          <w:szCs w:val="20"/>
          <w:u w:val="single"/>
        </w:rPr>
      </w:pPr>
      <w:r w:rsidRPr="00786E87">
        <w:rPr>
          <w:rFonts w:ascii="Times New Roman" w:hAnsi="Times New Roman" w:cs="Times New Roman"/>
          <w:b/>
          <w:bCs/>
          <w:sz w:val="20"/>
          <w:szCs w:val="20"/>
        </w:rPr>
        <w:t>Corresponding Author:</w:t>
      </w:r>
      <w:r w:rsidRPr="00786E87">
        <w:rPr>
          <w:rFonts w:ascii="Times New Roman" w:hAnsi="Times New Roman" w:cs="Times New Roman"/>
          <w:sz w:val="20"/>
          <w:szCs w:val="20"/>
        </w:rPr>
        <w:t xml:space="preserve"> Dr. Saleem Ullah Abro</w:t>
      </w:r>
      <w:r w:rsidRPr="00786E87">
        <w:rPr>
          <w:rFonts w:ascii="Times New Roman" w:hAnsi="Times New Roman" w:cs="Times New Roman"/>
          <w:sz w:val="20"/>
          <w:szCs w:val="20"/>
        </w:rPr>
        <w:tab/>
      </w:r>
      <w:r w:rsidRPr="00786E87">
        <w:rPr>
          <w:rFonts w:ascii="Times New Roman" w:hAnsi="Times New Roman" w:cs="Times New Roman"/>
          <w:sz w:val="20"/>
          <w:szCs w:val="20"/>
        </w:rPr>
        <w:tab/>
      </w:r>
      <w:r w:rsidRPr="00786E87">
        <w:rPr>
          <w:rFonts w:ascii="Times New Roman" w:hAnsi="Times New Roman" w:cs="Times New Roman"/>
          <w:sz w:val="20"/>
          <w:szCs w:val="20"/>
        </w:rPr>
        <w:tab/>
      </w:r>
      <w:r w:rsidRPr="00786E87">
        <w:rPr>
          <w:rFonts w:ascii="Times New Roman" w:hAnsi="Times New Roman" w:cs="Times New Roman"/>
          <w:b/>
          <w:bCs/>
          <w:sz w:val="20"/>
          <w:szCs w:val="20"/>
        </w:rPr>
        <w:t>Email:</w:t>
      </w:r>
      <w:r w:rsidRPr="00786E87">
        <w:rPr>
          <w:rFonts w:ascii="Times New Roman" w:hAnsi="Times New Roman" w:cs="Times New Roman"/>
          <w:sz w:val="20"/>
          <w:szCs w:val="20"/>
        </w:rPr>
        <w:t xml:space="preserve"> </w:t>
      </w:r>
      <w:hyperlink r:id="rId7" w:history="1">
        <w:r w:rsidRPr="00786E87">
          <w:rPr>
            <w:rStyle w:val="Hyperlink"/>
            <w:rFonts w:ascii="Times New Roman" w:hAnsi="Times New Roman" w:cs="Times New Roman"/>
            <w:sz w:val="20"/>
            <w:szCs w:val="20"/>
            <w:lang w:val="en"/>
          </w:rPr>
          <w:t>drsaleemullah@baqai.edu.pk</w:t>
        </w:r>
      </w:hyperlink>
    </w:p>
    <w:p w14:paraId="7E7A3174" w14:textId="69F16CD9" w:rsidR="00786E87" w:rsidRPr="00786E87" w:rsidRDefault="00786E87" w:rsidP="00786E87">
      <w:pPr>
        <w:spacing w:after="0"/>
        <w:jc w:val="both"/>
        <w:rPr>
          <w:rFonts w:ascii="Times New Roman" w:hAnsi="Times New Roman" w:cs="Times New Roman"/>
          <w:b/>
          <w:bCs/>
          <w:sz w:val="20"/>
          <w:szCs w:val="20"/>
        </w:rPr>
      </w:pPr>
      <w:r w:rsidRPr="00786E87">
        <w:rPr>
          <w:rFonts w:ascii="Times New Roman" w:hAnsi="Times New Roman" w:cs="Times New Roman"/>
          <w:b/>
          <w:bCs/>
          <w:sz w:val="20"/>
          <w:szCs w:val="20"/>
        </w:rPr>
        <w:t xml:space="preserve">Received: </w:t>
      </w:r>
      <w:r w:rsidR="00916AA8">
        <w:rPr>
          <w:rFonts w:ascii="Times New Roman" w:hAnsi="Times New Roman" w:cs="Times New Roman"/>
          <w:b/>
          <w:bCs/>
          <w:sz w:val="20"/>
          <w:szCs w:val="20"/>
        </w:rPr>
        <w:t>02-02-2026</w:t>
      </w:r>
      <w:r w:rsidRPr="00786E87">
        <w:rPr>
          <w:rFonts w:ascii="Times New Roman" w:hAnsi="Times New Roman" w:cs="Times New Roman"/>
          <w:b/>
          <w:bCs/>
          <w:sz w:val="20"/>
          <w:szCs w:val="20"/>
        </w:rPr>
        <w:tab/>
      </w:r>
      <w:r w:rsidRPr="00786E87">
        <w:rPr>
          <w:rFonts w:ascii="Times New Roman" w:hAnsi="Times New Roman" w:cs="Times New Roman"/>
          <w:b/>
          <w:bCs/>
          <w:sz w:val="20"/>
          <w:szCs w:val="20"/>
        </w:rPr>
        <w:tab/>
        <w:t>Revised:</w:t>
      </w:r>
      <w:r w:rsidR="00916AA8">
        <w:rPr>
          <w:rFonts w:ascii="Times New Roman" w:hAnsi="Times New Roman" w:cs="Times New Roman"/>
          <w:b/>
          <w:bCs/>
          <w:sz w:val="20"/>
          <w:szCs w:val="20"/>
        </w:rPr>
        <w:t xml:space="preserve"> 23-06-2026</w:t>
      </w:r>
      <w:r w:rsidRPr="00786E87">
        <w:rPr>
          <w:rFonts w:ascii="Times New Roman" w:hAnsi="Times New Roman" w:cs="Times New Roman"/>
          <w:b/>
          <w:bCs/>
          <w:sz w:val="20"/>
          <w:szCs w:val="20"/>
        </w:rPr>
        <w:tab/>
        <w:t xml:space="preserve">Accepted: </w:t>
      </w:r>
      <w:r w:rsidR="006457CF">
        <w:rPr>
          <w:rFonts w:ascii="Times New Roman" w:hAnsi="Times New Roman" w:cs="Times New Roman"/>
          <w:b/>
          <w:bCs/>
          <w:sz w:val="20"/>
          <w:szCs w:val="20"/>
        </w:rPr>
        <w:t>12-08-2026</w:t>
      </w:r>
    </w:p>
    <w:p w14:paraId="0D7E133D" w14:textId="4CD93AA0" w:rsidR="00416426" w:rsidRPr="00786E87" w:rsidRDefault="00786E87" w:rsidP="00786E87">
      <w:pPr>
        <w:spacing w:after="0" w:line="276" w:lineRule="auto"/>
        <w:jc w:val="both"/>
        <w:rPr>
          <w:rFonts w:ascii="Times New Roman" w:hAnsi="Times New Roman" w:cs="Times New Roman"/>
          <w:sz w:val="20"/>
          <w:szCs w:val="20"/>
        </w:rPr>
      </w:pPr>
      <w:r w:rsidRPr="00786E87">
        <w:rPr>
          <w:rFonts w:ascii="Times New Roman" w:hAnsi="Times New Roman" w:cs="Times New Roman"/>
          <w:b/>
          <w:bCs/>
          <w:sz w:val="20"/>
          <w:szCs w:val="20"/>
        </w:rPr>
        <w:t>DOI:</w:t>
      </w:r>
      <w:r w:rsidRPr="00786E87">
        <w:rPr>
          <w:rFonts w:ascii="Times New Roman" w:hAnsi="Times New Roman" w:cs="Times New Roman"/>
          <w:sz w:val="20"/>
          <w:szCs w:val="20"/>
        </w:rPr>
        <w:t xml:space="preserve"> </w:t>
      </w:r>
      <w:hyperlink r:id="rId8" w:history="1">
        <w:r w:rsidRPr="00786E87">
          <w:rPr>
            <w:rStyle w:val="Hyperlink"/>
            <w:rFonts w:ascii="Times New Roman" w:hAnsi="Times New Roman" w:cs="Times New Roman"/>
            <w:sz w:val="20"/>
            <w:szCs w:val="20"/>
            <w:lang w:val="en"/>
          </w:rPr>
          <w:t>https://doi.org/10.70302/jpsim.v7i3.26</w:t>
        </w:r>
        <w:r w:rsidR="007F65E6">
          <w:rPr>
            <w:rStyle w:val="Hyperlink"/>
            <w:rFonts w:ascii="Times New Roman" w:hAnsi="Times New Roman" w:cs="Times New Roman"/>
            <w:sz w:val="20"/>
            <w:szCs w:val="20"/>
            <w:lang w:val="en"/>
          </w:rPr>
          <w:t>4</w:t>
        </w:r>
        <w:r w:rsidRPr="00786E87">
          <w:rPr>
            <w:rStyle w:val="Hyperlink"/>
            <w:rFonts w:ascii="Times New Roman" w:hAnsi="Times New Roman" w:cs="Times New Roman"/>
            <w:sz w:val="20"/>
            <w:szCs w:val="20"/>
            <w:lang w:val="en"/>
          </w:rPr>
          <w:t>3</w:t>
        </w:r>
      </w:hyperlink>
    </w:p>
    <w:p w14:paraId="38B4C72E" w14:textId="1BD4E2D7" w:rsidR="0002657A" w:rsidRPr="0060618B" w:rsidRDefault="00786E87" w:rsidP="0060618B">
      <w:pPr>
        <w:spacing w:after="0" w:line="276" w:lineRule="auto"/>
        <w:jc w:val="both"/>
        <w:rPr>
          <w:rFonts w:ascii="Times New Roman" w:eastAsia="Times New Roman" w:hAnsi="Times New Roman" w:cs="Times New Roman"/>
          <w:b/>
        </w:rPr>
      </w:pPr>
      <w:r w:rsidRPr="0060618B">
        <w:rPr>
          <w:rFonts w:ascii="Times New Roman" w:hAnsi="Times New Roman" w:cs="Times New Roman"/>
          <w:b/>
        </w:rPr>
        <w:t>Introduction</w:t>
      </w:r>
      <w:r w:rsidR="0002657A" w:rsidRPr="0060618B">
        <w:rPr>
          <w:rFonts w:ascii="Times New Roman" w:eastAsia="Times New Roman" w:hAnsi="Times New Roman" w:cs="Times New Roman"/>
          <w:b/>
        </w:rPr>
        <w:t xml:space="preserve"> </w:t>
      </w:r>
    </w:p>
    <w:p w14:paraId="778670CB" w14:textId="510F067B" w:rsidR="001B62D6" w:rsidRPr="0060618B" w:rsidRDefault="000D2AF4"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 xml:space="preserve">Type 2 diabetes mellitus (T2DM) is a </w:t>
      </w:r>
      <w:r w:rsidR="00EA0D0B" w:rsidRPr="0060618B">
        <w:rPr>
          <w:rFonts w:ascii="Times New Roman" w:eastAsia="Times New Roman" w:hAnsi="Times New Roman" w:cs="Times New Roman"/>
        </w:rPr>
        <w:t>long-lasting metabolic condition</w:t>
      </w:r>
      <w:r w:rsidRPr="0060618B">
        <w:rPr>
          <w:rFonts w:ascii="Times New Roman" w:eastAsia="Times New Roman" w:hAnsi="Times New Roman" w:cs="Times New Roman"/>
        </w:rPr>
        <w:t xml:space="preserve"> characterized by insulin resistance or high blood sugar due to insufficient insulin synthesis.</w:t>
      </w:r>
      <w:r w:rsidRPr="0060618B">
        <w:rPr>
          <w:rFonts w:ascii="Times New Roman" w:eastAsia="Times New Roman" w:hAnsi="Times New Roman" w:cs="Times New Roman"/>
          <w:vertAlign w:val="superscript"/>
        </w:rPr>
        <w:t>1</w:t>
      </w:r>
      <w:r w:rsidRPr="0060618B">
        <w:rPr>
          <w:rFonts w:ascii="Times New Roman" w:eastAsia="Times New Roman" w:hAnsi="Times New Roman" w:cs="Times New Roman"/>
        </w:rPr>
        <w:t xml:space="preserve"> Approximately </w:t>
      </w:r>
      <w:r w:rsidR="0069713F" w:rsidRPr="0060618B">
        <w:rPr>
          <w:rFonts w:ascii="Times New Roman" w:hAnsi="Times New Roman" w:cs="Times New Roman"/>
        </w:rPr>
        <w:t>537 million</w:t>
      </w:r>
      <w:r w:rsidRPr="0060618B">
        <w:rPr>
          <w:rFonts w:ascii="Times New Roman" w:eastAsia="Times New Roman" w:hAnsi="Times New Roman" w:cs="Times New Roman"/>
        </w:rPr>
        <w:t xml:space="preserve"> people have </w:t>
      </w:r>
      <w:r w:rsidR="00A75925" w:rsidRPr="0060618B">
        <w:rPr>
          <w:rFonts w:ascii="Times New Roman" w:eastAsia="Times New Roman" w:hAnsi="Times New Roman" w:cs="Times New Roman"/>
        </w:rPr>
        <w:t>T2DM</w:t>
      </w:r>
      <w:r w:rsidRPr="0060618B">
        <w:rPr>
          <w:rFonts w:ascii="Times New Roman" w:eastAsia="Times New Roman" w:hAnsi="Times New Roman" w:cs="Times New Roman"/>
        </w:rPr>
        <w:t xml:space="preserve"> </w:t>
      </w:r>
      <w:r w:rsidR="000B2662" w:rsidRPr="0060618B">
        <w:rPr>
          <w:rFonts w:ascii="Times New Roman" w:eastAsia="Times New Roman" w:hAnsi="Times New Roman" w:cs="Times New Roman"/>
        </w:rPr>
        <w:t>currently</w:t>
      </w:r>
      <w:r w:rsidRPr="0060618B">
        <w:rPr>
          <w:rFonts w:ascii="Times New Roman" w:eastAsia="Times New Roman" w:hAnsi="Times New Roman" w:cs="Times New Roman"/>
        </w:rPr>
        <w:t>, with projections indicating a sharp increase in the coming years. Estimates predict that by 2045, nearly 783 million individuals will b</w:t>
      </w:r>
      <w:r w:rsidR="00A75925" w:rsidRPr="0060618B">
        <w:rPr>
          <w:rFonts w:ascii="Times New Roman" w:eastAsia="Times New Roman" w:hAnsi="Times New Roman" w:cs="Times New Roman"/>
        </w:rPr>
        <w:t xml:space="preserve">e affected by diabetes </w:t>
      </w:r>
      <w:r w:rsidRPr="0060618B">
        <w:rPr>
          <w:rFonts w:ascii="Times New Roman" w:eastAsia="Times New Roman" w:hAnsi="Times New Roman" w:cs="Times New Roman"/>
        </w:rPr>
        <w:t>worldwide. Foot ulcers are expected to occur at some point in the lives of about 15% of the 150 million persons worldwide with T2DM.</w:t>
      </w:r>
      <w:r w:rsidRPr="00786E87">
        <w:rPr>
          <w:rFonts w:ascii="Times New Roman" w:eastAsia="Times New Roman" w:hAnsi="Times New Roman" w:cs="Times New Roman"/>
          <w:vertAlign w:val="superscript"/>
        </w:rPr>
        <w:t>2</w:t>
      </w:r>
      <w:r w:rsidR="00786E87">
        <w:rPr>
          <w:rFonts w:ascii="Times New Roman" w:eastAsia="Times New Roman" w:hAnsi="Times New Roman" w:cs="Times New Roman"/>
        </w:rPr>
        <w:t xml:space="preserve"> </w:t>
      </w:r>
      <w:r w:rsidRPr="00786E87">
        <w:rPr>
          <w:rFonts w:ascii="Times New Roman" w:eastAsia="Times New Roman" w:hAnsi="Times New Roman" w:cs="Times New Roman"/>
        </w:rPr>
        <w:t>Inadequate</w:t>
      </w:r>
      <w:r w:rsidRPr="0060618B">
        <w:rPr>
          <w:rFonts w:ascii="Times New Roman" w:eastAsia="Times New Roman" w:hAnsi="Times New Roman" w:cs="Times New Roman"/>
        </w:rPr>
        <w:t xml:space="preserve"> control of </w:t>
      </w:r>
      <w:r w:rsidR="00EA0D0B" w:rsidRPr="0060618B">
        <w:rPr>
          <w:rFonts w:ascii="Times New Roman" w:eastAsia="Times New Roman" w:hAnsi="Times New Roman" w:cs="Times New Roman"/>
        </w:rPr>
        <w:t xml:space="preserve">hyperglycemia </w:t>
      </w:r>
      <w:r w:rsidRPr="0060618B">
        <w:rPr>
          <w:rFonts w:ascii="Times New Roman" w:eastAsia="Times New Roman" w:hAnsi="Times New Roman" w:cs="Times New Roman"/>
        </w:rPr>
        <w:t xml:space="preserve">can lead to serious long-term complications in patients with T2DM. </w:t>
      </w:r>
    </w:p>
    <w:p w14:paraId="3A72CBB2" w14:textId="48787540" w:rsidR="00F63FC1" w:rsidRPr="0060618B" w:rsidRDefault="000D2AF4" w:rsidP="0060618B">
      <w:pPr>
        <w:spacing w:after="0" w:line="276" w:lineRule="auto"/>
        <w:jc w:val="both"/>
        <w:rPr>
          <w:rFonts w:ascii="Times New Roman" w:eastAsia="Times New Roman" w:hAnsi="Times New Roman" w:cs="Times New Roman"/>
          <w:vertAlign w:val="superscript"/>
        </w:rPr>
      </w:pPr>
      <w:r w:rsidRPr="0060618B">
        <w:rPr>
          <w:rFonts w:ascii="Times New Roman" w:eastAsia="Times New Roman" w:hAnsi="Times New Roman" w:cs="Times New Roman"/>
        </w:rPr>
        <w:t xml:space="preserve">The annual incidence of diabetic foot is approximately 2%, with lifetime prevalence </w:t>
      </w:r>
      <w:r w:rsidR="0012640F" w:rsidRPr="0060618B">
        <w:rPr>
          <w:rFonts w:ascii="Times New Roman" w:eastAsia="Times New Roman" w:hAnsi="Times New Roman" w:cs="Times New Roman"/>
        </w:rPr>
        <w:t xml:space="preserve">ranging </w:t>
      </w:r>
      <w:r w:rsidRPr="0060618B">
        <w:rPr>
          <w:rFonts w:ascii="Times New Roman" w:eastAsia="Times New Roman" w:hAnsi="Times New Roman" w:cs="Times New Roman"/>
        </w:rPr>
        <w:t>from 15% t</w:t>
      </w:r>
      <w:r w:rsidR="00E60DD8" w:rsidRPr="0060618B">
        <w:rPr>
          <w:rFonts w:ascii="Times New Roman" w:eastAsia="Times New Roman" w:hAnsi="Times New Roman" w:cs="Times New Roman"/>
        </w:rPr>
        <w:t>o 25% in patients with diabetes,</w:t>
      </w:r>
      <w:r w:rsidRPr="0060618B">
        <w:rPr>
          <w:rFonts w:ascii="Times New Roman" w:eastAsia="Times New Roman" w:hAnsi="Times New Roman" w:cs="Times New Roman"/>
        </w:rPr>
        <w:t xml:space="preserve"> </w:t>
      </w:r>
      <w:r w:rsidR="00E60DD8" w:rsidRPr="0060618B">
        <w:rPr>
          <w:rFonts w:ascii="Times New Roman" w:eastAsia="Times New Roman" w:hAnsi="Times New Roman" w:cs="Times New Roman"/>
        </w:rPr>
        <w:t xml:space="preserve">and the </w:t>
      </w:r>
      <w:r w:rsidR="00BC052F" w:rsidRPr="0060618B">
        <w:rPr>
          <w:rFonts w:ascii="Times New Roman" w:hAnsi="Times New Roman" w:cs="Times New Roman"/>
        </w:rPr>
        <w:t xml:space="preserve">burden </w:t>
      </w:r>
      <w:r w:rsidR="007B72FE" w:rsidRPr="0060618B">
        <w:rPr>
          <w:rFonts w:ascii="Times New Roman" w:hAnsi="Times New Roman" w:cs="Times New Roman"/>
        </w:rPr>
        <w:t xml:space="preserve">of </w:t>
      </w:r>
      <w:r w:rsidR="004A2148" w:rsidRPr="0060618B">
        <w:rPr>
          <w:rFonts w:ascii="Times New Roman" w:eastAsia="Times New Roman" w:hAnsi="Times New Roman" w:cs="Times New Roman"/>
        </w:rPr>
        <w:t>Diabetic foot ulcers (DFUs)</w:t>
      </w:r>
      <w:r w:rsidR="007B72FE" w:rsidRPr="0060618B">
        <w:rPr>
          <w:rFonts w:ascii="Times New Roman" w:hAnsi="Times New Roman" w:cs="Times New Roman"/>
        </w:rPr>
        <w:t xml:space="preserve"> </w:t>
      </w:r>
      <w:r w:rsidR="004A2148" w:rsidRPr="0060618B">
        <w:rPr>
          <w:rFonts w:ascii="Times New Roman" w:hAnsi="Times New Roman" w:cs="Times New Roman"/>
        </w:rPr>
        <w:t>in Pakistan, particularly,</w:t>
      </w:r>
      <w:r w:rsidR="00BC052F" w:rsidRPr="0060618B">
        <w:rPr>
          <w:rFonts w:ascii="Times New Roman" w:hAnsi="Times New Roman" w:cs="Times New Roman"/>
        </w:rPr>
        <w:t xml:space="preserve"> reported a pooled DFU prevalence of approximately 12.16% among patients with </w:t>
      </w:r>
      <w:r w:rsidR="007B72FE" w:rsidRPr="0060618B">
        <w:rPr>
          <w:rFonts w:ascii="Times New Roman" w:hAnsi="Times New Roman" w:cs="Times New Roman"/>
        </w:rPr>
        <w:t xml:space="preserve">type 2 </w:t>
      </w:r>
      <w:r w:rsidR="00BC052F" w:rsidRPr="0060618B">
        <w:rPr>
          <w:rFonts w:ascii="Times New Roman" w:hAnsi="Times New Roman" w:cs="Times New Roman"/>
        </w:rPr>
        <w:t xml:space="preserve">diabetes, with </w:t>
      </w:r>
      <w:r w:rsidR="00BC052F" w:rsidRPr="0060618B">
        <w:rPr>
          <w:rFonts w:ascii="Times New Roman" w:hAnsi="Times New Roman" w:cs="Times New Roman"/>
        </w:rPr>
        <w:lastRenderedPageBreak/>
        <w:t xml:space="preserve">considerable variation across studies and an increasing prevalence </w:t>
      </w:r>
      <w:r w:rsidR="00E60DD8" w:rsidRPr="0060618B">
        <w:rPr>
          <w:rFonts w:ascii="Times New Roman" w:hAnsi="Times New Roman" w:cs="Times New Roman"/>
        </w:rPr>
        <w:t xml:space="preserve">of </w:t>
      </w:r>
      <w:r w:rsidR="00E60DD8" w:rsidRPr="0060618B">
        <w:rPr>
          <w:rFonts w:ascii="Times New Roman" w:eastAsia="Times New Roman" w:hAnsi="Times New Roman" w:cs="Times New Roman"/>
        </w:rPr>
        <w:t xml:space="preserve">DFUs and lower-limb amputations </w:t>
      </w:r>
      <w:r w:rsidR="00BC052F" w:rsidRPr="0060618B">
        <w:rPr>
          <w:rFonts w:ascii="Times New Roman" w:hAnsi="Times New Roman" w:cs="Times New Roman"/>
        </w:rPr>
        <w:t>in more recent years</w:t>
      </w:r>
      <w:r w:rsidR="0083049F" w:rsidRPr="0060618B">
        <w:rPr>
          <w:rFonts w:ascii="Times New Roman" w:hAnsi="Times New Roman" w:cs="Times New Roman"/>
        </w:rPr>
        <w:t>.</w:t>
      </w:r>
      <w:r w:rsidR="00E60DD8" w:rsidRPr="0060618B">
        <w:rPr>
          <w:rFonts w:ascii="Times New Roman" w:eastAsia="Times New Roman" w:hAnsi="Times New Roman" w:cs="Times New Roman"/>
          <w:vertAlign w:val="superscript"/>
        </w:rPr>
        <w:t>3,</w:t>
      </w:r>
      <w:r w:rsidR="0083049F" w:rsidRPr="0060618B">
        <w:rPr>
          <w:rFonts w:ascii="Times New Roman" w:hAnsi="Times New Roman" w:cs="Times New Roman"/>
          <w:vertAlign w:val="superscript"/>
        </w:rPr>
        <w:t>4</w:t>
      </w:r>
      <w:r w:rsidR="00BC052F" w:rsidRPr="0060618B">
        <w:rPr>
          <w:rFonts w:ascii="Times New Roman" w:hAnsi="Times New Roman" w:cs="Times New Roman"/>
        </w:rPr>
        <w:t xml:space="preserve">  </w:t>
      </w:r>
      <w:r w:rsidRPr="0060618B">
        <w:rPr>
          <w:rFonts w:ascii="Times New Roman" w:eastAsia="Times New Roman" w:hAnsi="Times New Roman" w:cs="Times New Roman"/>
        </w:rPr>
        <w:t>DFUs and lower-limb amputations are leading causes of dis</w:t>
      </w:r>
      <w:r w:rsidR="00A75925" w:rsidRPr="0060618B">
        <w:rPr>
          <w:rFonts w:ascii="Times New Roman" w:eastAsia="Times New Roman" w:hAnsi="Times New Roman" w:cs="Times New Roman"/>
        </w:rPr>
        <w:t xml:space="preserve">ability </w:t>
      </w:r>
      <w:r w:rsidRPr="0060618B">
        <w:rPr>
          <w:rFonts w:ascii="Times New Roman" w:eastAsia="Times New Roman" w:hAnsi="Times New Roman" w:cs="Times New Roman"/>
        </w:rPr>
        <w:t>and mortality in patients with T2DM, both linked to infection or gangrene. Diabetic foot refers to sores on the foot caused by peripheral arterial disease in individuals with diabetic neuropathy and associated with the risk of osteomyelitis.</w:t>
      </w:r>
      <w:r w:rsidR="003801DE" w:rsidRPr="0060618B">
        <w:rPr>
          <w:rFonts w:ascii="Times New Roman" w:eastAsia="Times New Roman" w:hAnsi="Times New Roman" w:cs="Times New Roman"/>
          <w:vertAlign w:val="superscript"/>
        </w:rPr>
        <w:t>5</w:t>
      </w:r>
    </w:p>
    <w:p w14:paraId="7079EADC" w14:textId="73618489" w:rsidR="00F63FC1" w:rsidRPr="0060618B" w:rsidRDefault="000D2AF4" w:rsidP="0060618B">
      <w:pPr>
        <w:pStyle w:val="NormalWeb"/>
        <w:spacing w:before="0" w:beforeAutospacing="0" w:after="0" w:afterAutospacing="0" w:line="276" w:lineRule="auto"/>
        <w:jc w:val="both"/>
        <w:rPr>
          <w:sz w:val="22"/>
          <w:szCs w:val="22"/>
        </w:rPr>
      </w:pPr>
      <w:r w:rsidRPr="0060618B">
        <w:rPr>
          <w:sz w:val="22"/>
          <w:szCs w:val="22"/>
        </w:rPr>
        <w:t xml:space="preserve">The pathophysiology of DFUs is complex, primarily fueled by long-term oxidative stress, inflammation, and </w:t>
      </w:r>
      <w:r w:rsidR="00BC052F" w:rsidRPr="0060618B">
        <w:rPr>
          <w:sz w:val="22"/>
          <w:szCs w:val="22"/>
        </w:rPr>
        <w:t xml:space="preserve">persistent </w:t>
      </w:r>
      <w:r w:rsidRPr="0060618B">
        <w:rPr>
          <w:sz w:val="22"/>
          <w:szCs w:val="22"/>
        </w:rPr>
        <w:t xml:space="preserve">hyperglycemia. Diabetic patients tend to have </w:t>
      </w:r>
      <w:r w:rsidR="0005693C" w:rsidRPr="0060618B">
        <w:rPr>
          <w:sz w:val="22"/>
          <w:szCs w:val="22"/>
        </w:rPr>
        <w:t>increased o</w:t>
      </w:r>
      <w:r w:rsidRPr="0060618B">
        <w:rPr>
          <w:sz w:val="22"/>
          <w:szCs w:val="22"/>
        </w:rPr>
        <w:t xml:space="preserve">xidative stress, which may ultimately cause tissue cell injury, impaired wound healing, and ulcer development. In </w:t>
      </w:r>
      <w:r w:rsidR="0005693C" w:rsidRPr="0060618B">
        <w:rPr>
          <w:sz w:val="22"/>
          <w:szCs w:val="22"/>
        </w:rPr>
        <w:t xml:space="preserve">DFU </w:t>
      </w:r>
      <w:r w:rsidRPr="0060618B">
        <w:rPr>
          <w:sz w:val="22"/>
          <w:szCs w:val="22"/>
        </w:rPr>
        <w:t xml:space="preserve">patients, </w:t>
      </w:r>
      <w:r w:rsidR="0005693C" w:rsidRPr="0060618B">
        <w:rPr>
          <w:sz w:val="22"/>
          <w:szCs w:val="22"/>
        </w:rPr>
        <w:t>increased serum pro-oxidant activity</w:t>
      </w:r>
      <w:r w:rsidRPr="0060618B">
        <w:rPr>
          <w:sz w:val="22"/>
          <w:szCs w:val="22"/>
        </w:rPr>
        <w:t xml:space="preserve"> </w:t>
      </w:r>
      <w:r w:rsidR="0005693C" w:rsidRPr="0060618B">
        <w:rPr>
          <w:sz w:val="22"/>
          <w:szCs w:val="22"/>
        </w:rPr>
        <w:t xml:space="preserve">and decreased </w:t>
      </w:r>
      <w:r w:rsidR="00196990" w:rsidRPr="0060618B">
        <w:rPr>
          <w:sz w:val="22"/>
          <w:szCs w:val="22"/>
        </w:rPr>
        <w:t xml:space="preserve">endogenous antioxidant </w:t>
      </w:r>
      <w:r w:rsidR="0005693C" w:rsidRPr="0060618B">
        <w:rPr>
          <w:sz w:val="22"/>
          <w:szCs w:val="22"/>
        </w:rPr>
        <w:t xml:space="preserve">defense </w:t>
      </w:r>
      <w:r w:rsidR="00196990" w:rsidRPr="0060618B">
        <w:rPr>
          <w:sz w:val="22"/>
          <w:szCs w:val="22"/>
        </w:rPr>
        <w:t>activity</w:t>
      </w:r>
      <w:r w:rsidRPr="0060618B">
        <w:rPr>
          <w:sz w:val="22"/>
          <w:szCs w:val="22"/>
        </w:rPr>
        <w:t>, par</w:t>
      </w:r>
      <w:r w:rsidR="0005693C" w:rsidRPr="0060618B">
        <w:rPr>
          <w:sz w:val="22"/>
          <w:szCs w:val="22"/>
        </w:rPr>
        <w:t xml:space="preserve">ticularly superoxide dismutase (SOD), </w:t>
      </w:r>
      <w:r w:rsidR="0029193E" w:rsidRPr="0060618B">
        <w:rPr>
          <w:sz w:val="22"/>
          <w:szCs w:val="22"/>
        </w:rPr>
        <w:t>possibly due to glycation of the enzyme, increased oxidative consumption, and oxidative inactivation</w:t>
      </w:r>
      <w:r w:rsidR="00694E97" w:rsidRPr="0060618B">
        <w:rPr>
          <w:sz w:val="22"/>
          <w:szCs w:val="22"/>
        </w:rPr>
        <w:t>,</w:t>
      </w:r>
      <w:r w:rsidR="0029193E" w:rsidRPr="0060618B">
        <w:rPr>
          <w:sz w:val="22"/>
          <w:szCs w:val="22"/>
        </w:rPr>
        <w:t xml:space="preserve"> leading to endothelial dysfunction</w:t>
      </w:r>
      <w:r w:rsidR="004C40F1" w:rsidRPr="0060618B">
        <w:rPr>
          <w:sz w:val="22"/>
          <w:szCs w:val="22"/>
        </w:rPr>
        <w:t>, oxidative DNA damage</w:t>
      </w:r>
      <w:r w:rsidR="0005693C" w:rsidRPr="0060618B">
        <w:rPr>
          <w:sz w:val="22"/>
          <w:szCs w:val="22"/>
        </w:rPr>
        <w:t xml:space="preserve"> with</w:t>
      </w:r>
      <w:r w:rsidRPr="0060618B">
        <w:rPr>
          <w:sz w:val="22"/>
          <w:szCs w:val="22"/>
        </w:rPr>
        <w:t xml:space="preserve"> macrovascular and microvascular complications</w:t>
      </w:r>
      <w:r w:rsidR="0005693C" w:rsidRPr="0060618B">
        <w:rPr>
          <w:sz w:val="22"/>
          <w:szCs w:val="22"/>
        </w:rPr>
        <w:t>.</w:t>
      </w:r>
      <w:r w:rsidR="003801DE" w:rsidRPr="0060618B">
        <w:rPr>
          <w:sz w:val="22"/>
          <w:szCs w:val="22"/>
          <w:vertAlign w:val="superscript"/>
        </w:rPr>
        <w:t>6</w:t>
      </w:r>
      <w:r w:rsidR="0029193E" w:rsidRPr="0060618B">
        <w:rPr>
          <w:sz w:val="22"/>
          <w:szCs w:val="22"/>
          <w:vertAlign w:val="superscript"/>
        </w:rPr>
        <w:t xml:space="preserve"> </w:t>
      </w:r>
      <w:r w:rsidRPr="0060618B">
        <w:rPr>
          <w:sz w:val="22"/>
          <w:szCs w:val="22"/>
        </w:rPr>
        <w:t>Elevated blood glucose, known as hyperglycemia, can lead to the generation of reactive oxygen species. This subsequently stimulates Protein Kinase C (PKC) and may interfere with ion channel regulation. Such developments are linked to the onset of diabetes-related complications.</w:t>
      </w:r>
      <w:r w:rsidRPr="0060618B">
        <w:rPr>
          <w:sz w:val="22"/>
          <w:szCs w:val="22"/>
          <w:vertAlign w:val="superscript"/>
        </w:rPr>
        <w:t>7</w:t>
      </w:r>
      <w:r w:rsidRPr="0060618B">
        <w:rPr>
          <w:sz w:val="22"/>
          <w:szCs w:val="22"/>
        </w:rPr>
        <w:t xml:space="preserve">The most widely used technique for determining blood sugar levels over </w:t>
      </w:r>
      <w:r w:rsidR="00323DDD" w:rsidRPr="0060618B">
        <w:rPr>
          <w:sz w:val="22"/>
          <w:szCs w:val="22"/>
        </w:rPr>
        <w:t>2–3 months</w:t>
      </w:r>
      <w:r w:rsidRPr="0060618B">
        <w:rPr>
          <w:sz w:val="22"/>
          <w:szCs w:val="22"/>
        </w:rPr>
        <w:t xml:space="preserve"> is g</w:t>
      </w:r>
      <w:r w:rsidR="006547FC" w:rsidRPr="0060618B">
        <w:rPr>
          <w:sz w:val="22"/>
          <w:szCs w:val="22"/>
        </w:rPr>
        <w:t xml:space="preserve">lycosylated hemoglobin (HbA1c), and considered </w:t>
      </w:r>
      <w:r w:rsidRPr="0060618B">
        <w:rPr>
          <w:sz w:val="22"/>
          <w:szCs w:val="22"/>
        </w:rPr>
        <w:t xml:space="preserve">a predictor of </w:t>
      </w:r>
      <w:r w:rsidR="006547FC" w:rsidRPr="0060618B">
        <w:rPr>
          <w:sz w:val="22"/>
          <w:szCs w:val="22"/>
        </w:rPr>
        <w:t>microvascular complications, including peripheral neuropathy.</w:t>
      </w:r>
      <w:r w:rsidRPr="0060618B">
        <w:rPr>
          <w:sz w:val="22"/>
          <w:szCs w:val="22"/>
          <w:vertAlign w:val="superscript"/>
        </w:rPr>
        <w:t>8</w:t>
      </w:r>
      <w:r w:rsidRPr="0060618B">
        <w:rPr>
          <w:sz w:val="22"/>
          <w:szCs w:val="22"/>
        </w:rPr>
        <w:t xml:space="preserve"> Diabetic peripheral neuropathy is caused by oxidative stress in diabetic patients, due to the body's imbalance between pro-oxidants and antioxidants. </w:t>
      </w:r>
    </w:p>
    <w:p w14:paraId="31F61311" w14:textId="77777777" w:rsidR="00F63FC1" w:rsidRPr="0060618B" w:rsidRDefault="000D2AF4"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 xml:space="preserve">Acute-phase inflammatory markers play a vital role in </w:t>
      </w:r>
      <w:r w:rsidR="00231CB2" w:rsidRPr="0060618B">
        <w:rPr>
          <w:rFonts w:ascii="Times New Roman" w:eastAsia="Times New Roman" w:hAnsi="Times New Roman" w:cs="Times New Roman"/>
        </w:rPr>
        <w:t>the development of foot ulcers</w:t>
      </w:r>
      <w:r w:rsidRPr="0060618B">
        <w:rPr>
          <w:rFonts w:ascii="Times New Roman" w:eastAsia="Times New Roman" w:hAnsi="Times New Roman" w:cs="Times New Roman"/>
        </w:rPr>
        <w:t xml:space="preserve">. Elevated levels of CRP </w:t>
      </w:r>
      <w:r w:rsidR="00231CB2" w:rsidRPr="0060618B">
        <w:rPr>
          <w:rFonts w:ascii="Times New Roman" w:eastAsia="Times New Roman" w:hAnsi="Times New Roman" w:cs="Times New Roman"/>
        </w:rPr>
        <w:t xml:space="preserve">reflect a </w:t>
      </w:r>
      <w:r w:rsidR="004A4E60" w:rsidRPr="0060618B">
        <w:rPr>
          <w:rFonts w:ascii="Times New Roman" w:eastAsia="Times New Roman" w:hAnsi="Times New Roman" w:cs="Times New Roman"/>
        </w:rPr>
        <w:t xml:space="preserve">marker of </w:t>
      </w:r>
      <w:r w:rsidRPr="0060618B">
        <w:rPr>
          <w:rFonts w:ascii="Times New Roman" w:eastAsia="Times New Roman" w:hAnsi="Times New Roman" w:cs="Times New Roman"/>
        </w:rPr>
        <w:t xml:space="preserve">systemic inflammatory response that impedes </w:t>
      </w:r>
      <w:r w:rsidR="00231CB2" w:rsidRPr="0060618B">
        <w:rPr>
          <w:rFonts w:ascii="Times New Roman" w:eastAsia="Times New Roman" w:hAnsi="Times New Roman" w:cs="Times New Roman"/>
        </w:rPr>
        <w:t>angiogenesis and immune function</w:t>
      </w:r>
      <w:r w:rsidR="002F23EF" w:rsidRPr="0060618B">
        <w:rPr>
          <w:rFonts w:ascii="Times New Roman" w:eastAsia="Times New Roman" w:hAnsi="Times New Roman" w:cs="Times New Roman"/>
        </w:rPr>
        <w:t>,</w:t>
      </w:r>
      <w:r w:rsidR="00231CB2" w:rsidRPr="0060618B">
        <w:rPr>
          <w:rFonts w:ascii="Times New Roman" w:eastAsia="Times New Roman" w:hAnsi="Times New Roman" w:cs="Times New Roman"/>
        </w:rPr>
        <w:t xml:space="preserve"> directly </w:t>
      </w:r>
      <w:r w:rsidR="002F23EF" w:rsidRPr="0060618B">
        <w:rPr>
          <w:rFonts w:ascii="Times New Roman" w:eastAsia="Times New Roman" w:hAnsi="Times New Roman" w:cs="Times New Roman"/>
        </w:rPr>
        <w:t>affecting</w:t>
      </w:r>
      <w:r w:rsidR="00231CB2" w:rsidRPr="0060618B">
        <w:rPr>
          <w:rFonts w:ascii="Times New Roman" w:eastAsia="Times New Roman" w:hAnsi="Times New Roman" w:cs="Times New Roman"/>
        </w:rPr>
        <w:t xml:space="preserve"> wound </w:t>
      </w:r>
      <w:r w:rsidRPr="0060618B">
        <w:rPr>
          <w:rFonts w:ascii="Times New Roman" w:eastAsia="Times New Roman" w:hAnsi="Times New Roman" w:cs="Times New Roman"/>
        </w:rPr>
        <w:t>healing in foot ulcers</w:t>
      </w:r>
      <w:r w:rsidR="00231CB2" w:rsidRPr="0060618B">
        <w:rPr>
          <w:rFonts w:ascii="Times New Roman" w:eastAsia="Times New Roman" w:hAnsi="Times New Roman" w:cs="Times New Roman"/>
        </w:rPr>
        <w:t xml:space="preserve"> in diabetic patients</w:t>
      </w:r>
      <w:r w:rsidRPr="0060618B">
        <w:rPr>
          <w:rFonts w:ascii="Times New Roman" w:eastAsia="Times New Roman" w:hAnsi="Times New Roman" w:cs="Times New Roman"/>
        </w:rPr>
        <w:t>.</w:t>
      </w:r>
      <w:r w:rsidR="00196990" w:rsidRPr="0060618B">
        <w:rPr>
          <w:rFonts w:ascii="Times New Roman" w:eastAsia="Times New Roman" w:hAnsi="Times New Roman" w:cs="Times New Roman"/>
          <w:vertAlign w:val="superscript"/>
        </w:rPr>
        <w:t>6</w:t>
      </w:r>
      <w:r w:rsidRPr="0060618B">
        <w:rPr>
          <w:rFonts w:ascii="Times New Roman" w:eastAsia="Times New Roman" w:hAnsi="Times New Roman" w:cs="Times New Roman"/>
        </w:rPr>
        <w:t xml:space="preserve"> </w:t>
      </w:r>
      <w:r w:rsidR="002F23EF" w:rsidRPr="0060618B">
        <w:rPr>
          <w:rFonts w:ascii="Times New Roman" w:eastAsia="Times New Roman" w:hAnsi="Times New Roman" w:cs="Times New Roman"/>
        </w:rPr>
        <w:t xml:space="preserve"> </w:t>
      </w:r>
      <w:r w:rsidR="009F36E7" w:rsidRPr="0060618B">
        <w:rPr>
          <w:rFonts w:ascii="Times New Roman" w:eastAsia="Times New Roman" w:hAnsi="Times New Roman" w:cs="Times New Roman"/>
        </w:rPr>
        <w:t>Hyperglycemia</w:t>
      </w:r>
      <w:r w:rsidRPr="0060618B">
        <w:rPr>
          <w:rFonts w:ascii="Times New Roman" w:eastAsia="Times New Roman" w:hAnsi="Times New Roman" w:cs="Times New Roman"/>
        </w:rPr>
        <w:t xml:space="preserve"> and oxidative stress </w:t>
      </w:r>
      <w:r w:rsidR="00231CB2" w:rsidRPr="0060618B">
        <w:rPr>
          <w:rFonts w:ascii="Times New Roman" w:eastAsia="Times New Roman" w:hAnsi="Times New Roman" w:cs="Times New Roman"/>
        </w:rPr>
        <w:t xml:space="preserve">are associated with </w:t>
      </w:r>
      <w:r w:rsidRPr="0060618B">
        <w:rPr>
          <w:rFonts w:ascii="Times New Roman" w:eastAsia="Times New Roman" w:hAnsi="Times New Roman" w:cs="Times New Roman"/>
        </w:rPr>
        <w:t>increased levels of intracellular adhesion molecule 1, pro-inflammatory cytokines, and chemokines</w:t>
      </w:r>
      <w:r w:rsidR="001A185C" w:rsidRPr="0060618B">
        <w:rPr>
          <w:rFonts w:ascii="Times New Roman" w:eastAsia="Times New Roman" w:hAnsi="Times New Roman" w:cs="Times New Roman"/>
        </w:rPr>
        <w:t xml:space="preserve">, leading to chronic inflammation with leukocyte recruitment </w:t>
      </w:r>
      <w:r w:rsidR="009F36E7" w:rsidRPr="0060618B">
        <w:rPr>
          <w:rFonts w:ascii="Times New Roman" w:eastAsia="Times New Roman" w:hAnsi="Times New Roman" w:cs="Times New Roman"/>
        </w:rPr>
        <w:t>and a</w:t>
      </w:r>
      <w:r w:rsidR="001A185C" w:rsidRPr="0060618B">
        <w:rPr>
          <w:rFonts w:ascii="Times New Roman" w:eastAsia="Times New Roman" w:hAnsi="Times New Roman" w:cs="Times New Roman"/>
        </w:rPr>
        <w:t xml:space="preserve"> </w:t>
      </w:r>
      <w:r w:rsidRPr="0060618B">
        <w:rPr>
          <w:rFonts w:ascii="Times New Roman" w:eastAsia="Times New Roman" w:hAnsi="Times New Roman" w:cs="Times New Roman"/>
        </w:rPr>
        <w:t>rise in neutrophil numbers</w:t>
      </w:r>
      <w:r w:rsidR="009F36E7" w:rsidRPr="0060618B">
        <w:rPr>
          <w:rFonts w:ascii="Times New Roman" w:eastAsia="Times New Roman" w:hAnsi="Times New Roman" w:cs="Times New Roman"/>
        </w:rPr>
        <w:t xml:space="preserve"> or </w:t>
      </w:r>
      <w:r w:rsidR="009F36E7" w:rsidRPr="0060618B">
        <w:rPr>
          <w:rFonts w:ascii="Times New Roman" w:hAnsi="Times New Roman" w:cs="Times New Roman"/>
        </w:rPr>
        <w:t>neutrophilia</w:t>
      </w:r>
      <w:r w:rsidRPr="0060618B">
        <w:rPr>
          <w:rFonts w:ascii="Times New Roman" w:eastAsia="Times New Roman" w:hAnsi="Times New Roman" w:cs="Times New Roman"/>
        </w:rPr>
        <w:t xml:space="preserve">. The activation of innate immunity also triggers adaptive immunity, which includes lymphocytes that combat atherosclerosis and help control the inflammatory response. The neutrophil-lymphocyte ratio (NLR), i.e., an inflammatory marker, can be used to assess systemic inflammatory conditions in diabetic foot ulcer patients. Increased NLR and CRP levels, along with lower SOD levels, are observed in diabetic foot ulcer patients. </w:t>
      </w:r>
      <w:r w:rsidRPr="0060618B">
        <w:rPr>
          <w:rFonts w:ascii="Times New Roman" w:eastAsia="Times New Roman" w:hAnsi="Times New Roman" w:cs="Times New Roman"/>
          <w:vertAlign w:val="superscript"/>
        </w:rPr>
        <w:t>9</w:t>
      </w:r>
      <w:r w:rsidRPr="0060618B">
        <w:rPr>
          <w:rFonts w:ascii="Times New Roman" w:eastAsia="Times New Roman" w:hAnsi="Times New Roman" w:cs="Times New Roman"/>
        </w:rPr>
        <w:t xml:space="preserve"> </w:t>
      </w:r>
    </w:p>
    <w:p w14:paraId="0A49F626" w14:textId="6206BD4B" w:rsidR="006261BF" w:rsidRPr="0060618B" w:rsidRDefault="00127003" w:rsidP="0060618B">
      <w:pPr>
        <w:spacing w:after="0" w:line="276" w:lineRule="auto"/>
        <w:jc w:val="both"/>
        <w:rPr>
          <w:rStyle w:val="Strong"/>
          <w:rFonts w:ascii="Times New Roman" w:hAnsi="Times New Roman" w:cs="Times New Roman"/>
          <w:b w:val="0"/>
          <w:bCs w:val="0"/>
        </w:rPr>
      </w:pPr>
      <w:r w:rsidRPr="0060618B">
        <w:rPr>
          <w:rFonts w:ascii="Times New Roman" w:hAnsi="Times New Roman" w:cs="Times New Roman"/>
        </w:rPr>
        <w:t xml:space="preserve">Most Pakistani studies on DFUs have been </w:t>
      </w:r>
      <w:r w:rsidR="001678C9" w:rsidRPr="0060618B">
        <w:rPr>
          <w:rFonts w:ascii="Times New Roman" w:hAnsi="Times New Roman" w:cs="Times New Roman"/>
        </w:rPr>
        <w:t xml:space="preserve">done </w:t>
      </w:r>
      <w:r w:rsidRPr="0060618B">
        <w:rPr>
          <w:rFonts w:ascii="Times New Roman" w:hAnsi="Times New Roman" w:cs="Times New Roman"/>
        </w:rPr>
        <w:t xml:space="preserve">on the evaluation of prevalence, risk factors, foot-care practices, and mode of infection. </w:t>
      </w:r>
      <w:r w:rsidR="00F71F53" w:rsidRPr="0060618B">
        <w:rPr>
          <w:rFonts w:ascii="Times New Roman" w:hAnsi="Times New Roman" w:cs="Times New Roman"/>
        </w:rPr>
        <w:t xml:space="preserve">Despite the increasing evidence regarding </w:t>
      </w:r>
      <w:r w:rsidR="00F71F53" w:rsidRPr="00786E87">
        <w:rPr>
          <w:rFonts w:ascii="Times New Roman" w:hAnsi="Times New Roman" w:cs="Times New Roman"/>
        </w:rPr>
        <w:t xml:space="preserve">inflammatory and oxidative biomarkers, </w:t>
      </w:r>
      <w:r w:rsidRPr="00786E87">
        <w:rPr>
          <w:rFonts w:ascii="Times New Roman" w:hAnsi="Times New Roman" w:cs="Times New Roman"/>
        </w:rPr>
        <w:t xml:space="preserve">limited local </w:t>
      </w:r>
      <w:r w:rsidR="00F71F53" w:rsidRPr="00786E87">
        <w:rPr>
          <w:rFonts w:ascii="Times New Roman" w:hAnsi="Times New Roman" w:cs="Times New Roman"/>
        </w:rPr>
        <w:t xml:space="preserve">data from Pakistan </w:t>
      </w:r>
      <w:r w:rsidRPr="00786E87">
        <w:rPr>
          <w:rFonts w:ascii="Times New Roman" w:hAnsi="Times New Roman" w:cs="Times New Roman"/>
        </w:rPr>
        <w:t>has simultaneously evaluated the</w:t>
      </w:r>
      <w:r w:rsidR="001237A7" w:rsidRPr="00786E87">
        <w:rPr>
          <w:rFonts w:ascii="Times New Roman" w:hAnsi="Times New Roman" w:cs="Times New Roman"/>
        </w:rPr>
        <w:t xml:space="preserve"> interrelated biological pathways </w:t>
      </w:r>
      <w:r w:rsidR="00A12BBB" w:rsidRPr="00786E87">
        <w:rPr>
          <w:rFonts w:ascii="Times New Roman" w:hAnsi="Times New Roman" w:cs="Times New Roman"/>
        </w:rPr>
        <w:t xml:space="preserve">in </w:t>
      </w:r>
      <w:r w:rsidR="007E51C7" w:rsidRPr="00786E87">
        <w:rPr>
          <w:rFonts w:ascii="Times New Roman" w:hAnsi="Times New Roman" w:cs="Times New Roman"/>
        </w:rPr>
        <w:t xml:space="preserve">the </w:t>
      </w:r>
      <w:r w:rsidR="00A12BBB" w:rsidRPr="00786E87">
        <w:rPr>
          <w:rFonts w:ascii="Times New Roman" w:hAnsi="Times New Roman" w:cs="Times New Roman"/>
        </w:rPr>
        <w:t>development of foot ulcer</w:t>
      </w:r>
      <w:r w:rsidR="007E51C7" w:rsidRPr="00786E87">
        <w:rPr>
          <w:rFonts w:ascii="Times New Roman" w:hAnsi="Times New Roman" w:cs="Times New Roman"/>
        </w:rPr>
        <w:t>s</w:t>
      </w:r>
      <w:r w:rsidR="00A12BBB" w:rsidRPr="00786E87">
        <w:rPr>
          <w:rFonts w:ascii="Times New Roman" w:hAnsi="Times New Roman" w:cs="Times New Roman"/>
        </w:rPr>
        <w:t xml:space="preserve"> </w:t>
      </w:r>
      <w:r w:rsidR="00F71F53" w:rsidRPr="00786E87">
        <w:rPr>
          <w:rFonts w:ascii="Times New Roman" w:hAnsi="Times New Roman" w:cs="Times New Roman"/>
        </w:rPr>
        <w:t xml:space="preserve">or evaluated glycemic, inflammatory, and antioxidant status </w:t>
      </w:r>
      <w:r w:rsidR="00A12BBB" w:rsidRPr="00786E87">
        <w:rPr>
          <w:rFonts w:ascii="Times New Roman" w:hAnsi="Times New Roman" w:cs="Times New Roman"/>
        </w:rPr>
        <w:t xml:space="preserve">in T2DM </w:t>
      </w:r>
      <w:r w:rsidR="00F71F53" w:rsidRPr="00786E87">
        <w:rPr>
          <w:rFonts w:ascii="Times New Roman" w:hAnsi="Times New Roman" w:cs="Times New Roman"/>
        </w:rPr>
        <w:t xml:space="preserve">with and without foot ulcer </w:t>
      </w:r>
      <w:r w:rsidRPr="00786E87">
        <w:rPr>
          <w:rFonts w:ascii="Times New Roman" w:hAnsi="Times New Roman" w:cs="Times New Roman"/>
        </w:rPr>
        <w:t xml:space="preserve">in the local population of Karachi. Therefore, the present study </w:t>
      </w:r>
      <w:r w:rsidR="00F71F53" w:rsidRPr="00786E87">
        <w:rPr>
          <w:rFonts w:ascii="Times New Roman" w:hAnsi="Times New Roman" w:cs="Times New Roman"/>
        </w:rPr>
        <w:t xml:space="preserve">was undertaken </w:t>
      </w:r>
      <w:r w:rsidRPr="00786E87">
        <w:rPr>
          <w:rFonts w:ascii="Times New Roman" w:hAnsi="Times New Roman" w:cs="Times New Roman"/>
        </w:rPr>
        <w:t>to evaluate</w:t>
      </w:r>
      <w:r w:rsidR="000D2AF4" w:rsidRPr="00786E87">
        <w:rPr>
          <w:rFonts w:ascii="Times New Roman" w:hAnsi="Times New Roman" w:cs="Times New Roman"/>
        </w:rPr>
        <w:t xml:space="preserve"> the association </w:t>
      </w:r>
      <w:r w:rsidR="0012640F" w:rsidRPr="00786E87">
        <w:rPr>
          <w:rFonts w:ascii="Times New Roman" w:hAnsi="Times New Roman" w:cs="Times New Roman"/>
        </w:rPr>
        <w:t xml:space="preserve">between </w:t>
      </w:r>
      <w:r w:rsidR="000D2AF4" w:rsidRPr="00786E87">
        <w:rPr>
          <w:rFonts w:ascii="Times New Roman" w:hAnsi="Times New Roman" w:cs="Times New Roman"/>
        </w:rPr>
        <w:t>antioxidant</w:t>
      </w:r>
      <w:r w:rsidR="0012640F" w:rsidRPr="00786E87">
        <w:rPr>
          <w:rFonts w:ascii="Times New Roman" w:hAnsi="Times New Roman" w:cs="Times New Roman"/>
        </w:rPr>
        <w:t xml:space="preserve"> status</w:t>
      </w:r>
      <w:r w:rsidR="000D2AF4" w:rsidRPr="00786E87">
        <w:rPr>
          <w:rFonts w:ascii="Times New Roman" w:hAnsi="Times New Roman" w:cs="Times New Roman"/>
        </w:rPr>
        <w:t>, inflam</w:t>
      </w:r>
      <w:r w:rsidR="000D2AF4" w:rsidRPr="00786E87">
        <w:rPr>
          <w:rFonts w:ascii="Times New Roman" w:eastAsia="Times New Roman" w:hAnsi="Times New Roman" w:cs="Times New Roman"/>
        </w:rPr>
        <w:t>matory</w:t>
      </w:r>
      <w:r w:rsidR="0012640F" w:rsidRPr="00786E87">
        <w:rPr>
          <w:rFonts w:ascii="Times New Roman" w:eastAsia="Times New Roman" w:hAnsi="Times New Roman" w:cs="Times New Roman"/>
        </w:rPr>
        <w:t xml:space="preserve"> status</w:t>
      </w:r>
      <w:r w:rsidR="000D2AF4" w:rsidRPr="00786E87">
        <w:rPr>
          <w:rFonts w:ascii="Times New Roman" w:eastAsia="Times New Roman" w:hAnsi="Times New Roman" w:cs="Times New Roman"/>
        </w:rPr>
        <w:t xml:space="preserve">, and glycemic status in </w:t>
      </w:r>
      <w:r w:rsidR="00AB7166" w:rsidRPr="00786E87">
        <w:rPr>
          <w:rFonts w:ascii="Times New Roman" w:eastAsia="Times New Roman" w:hAnsi="Times New Roman" w:cs="Times New Roman"/>
        </w:rPr>
        <w:t>patients with diabetic foot ulcers (DFUs)</w:t>
      </w:r>
      <w:r w:rsidR="000D2AF4" w:rsidRPr="00786E87">
        <w:rPr>
          <w:rFonts w:ascii="Times New Roman" w:eastAsia="Times New Roman" w:hAnsi="Times New Roman" w:cs="Times New Roman"/>
        </w:rPr>
        <w:t xml:space="preserve"> in Karachi, Pakistan.</w:t>
      </w:r>
    </w:p>
    <w:p w14:paraId="4D9FC008" w14:textId="4F20B8C8" w:rsidR="00AA1516" w:rsidRPr="0060618B" w:rsidRDefault="00786E87" w:rsidP="0060618B">
      <w:pPr>
        <w:pStyle w:val="NormalWeb"/>
        <w:spacing w:before="0" w:beforeAutospacing="0" w:after="0" w:afterAutospacing="0" w:line="276" w:lineRule="auto"/>
        <w:jc w:val="both"/>
        <w:rPr>
          <w:rStyle w:val="Strong"/>
          <w:rFonts w:eastAsiaTheme="minorHAnsi"/>
          <w:b w:val="0"/>
          <w:bCs w:val="0"/>
          <w:sz w:val="22"/>
          <w:szCs w:val="22"/>
        </w:rPr>
      </w:pPr>
      <w:r w:rsidRPr="0060618B">
        <w:rPr>
          <w:b/>
          <w:sz w:val="22"/>
          <w:szCs w:val="22"/>
        </w:rPr>
        <w:t>Methods</w:t>
      </w:r>
      <w:r w:rsidR="0002657A" w:rsidRPr="0060618B">
        <w:rPr>
          <w:rStyle w:val="Strong"/>
          <w:rFonts w:eastAsiaTheme="minorHAnsi"/>
          <w:b w:val="0"/>
          <w:bCs w:val="0"/>
          <w:sz w:val="22"/>
          <w:szCs w:val="22"/>
        </w:rPr>
        <w:t xml:space="preserve"> </w:t>
      </w:r>
    </w:p>
    <w:p w14:paraId="023A30F0" w14:textId="33EECA98" w:rsidR="00A562A9" w:rsidRPr="0060618B" w:rsidRDefault="00BB1903" w:rsidP="0060618B">
      <w:pPr>
        <w:pStyle w:val="NormalWeb"/>
        <w:spacing w:before="0" w:beforeAutospacing="0" w:after="0" w:afterAutospacing="0" w:line="276" w:lineRule="auto"/>
        <w:jc w:val="both"/>
        <w:rPr>
          <w:sz w:val="22"/>
          <w:szCs w:val="22"/>
        </w:rPr>
      </w:pPr>
      <w:r w:rsidRPr="0060618B">
        <w:rPr>
          <w:rStyle w:val="Strong"/>
          <w:rFonts w:eastAsiaTheme="minorHAnsi"/>
          <w:b w:val="0"/>
          <w:bCs w:val="0"/>
          <w:sz w:val="22"/>
          <w:szCs w:val="22"/>
        </w:rPr>
        <w:t xml:space="preserve">This </w:t>
      </w:r>
      <w:r w:rsidR="006839A2" w:rsidRPr="0060618B">
        <w:rPr>
          <w:rStyle w:val="notrewrittenword"/>
          <w:rFonts w:eastAsiaTheme="majorEastAsia"/>
          <w:sz w:val="22"/>
          <w:szCs w:val="22"/>
        </w:rPr>
        <w:t>cross-sectional comparative study</w:t>
      </w:r>
      <w:r w:rsidRPr="0060618B">
        <w:rPr>
          <w:rStyle w:val="Strong"/>
          <w:rFonts w:eastAsiaTheme="minorHAnsi"/>
          <w:b w:val="0"/>
          <w:bCs w:val="0"/>
          <w:sz w:val="22"/>
          <w:szCs w:val="22"/>
        </w:rPr>
        <w:t xml:space="preserve"> was conducted by </w:t>
      </w:r>
      <w:r w:rsidR="006839A2" w:rsidRPr="0060618B">
        <w:rPr>
          <w:rStyle w:val="notrewrittenword"/>
          <w:rFonts w:eastAsiaTheme="majorEastAsia"/>
          <w:sz w:val="22"/>
          <w:szCs w:val="22"/>
        </w:rPr>
        <w:t>Physiology Department</w:t>
      </w:r>
      <w:r w:rsidRPr="0060618B">
        <w:rPr>
          <w:rStyle w:val="Strong"/>
          <w:rFonts w:eastAsiaTheme="minorHAnsi"/>
          <w:b w:val="0"/>
          <w:bCs w:val="0"/>
          <w:sz w:val="22"/>
          <w:szCs w:val="22"/>
        </w:rPr>
        <w:t xml:space="preserve"> in collaboration with the </w:t>
      </w:r>
      <w:r w:rsidR="00680997" w:rsidRPr="0060618B">
        <w:rPr>
          <w:rStyle w:val="Strong"/>
          <w:rFonts w:eastAsiaTheme="minorHAnsi"/>
          <w:b w:val="0"/>
          <w:bCs w:val="0"/>
          <w:sz w:val="22"/>
          <w:szCs w:val="22"/>
        </w:rPr>
        <w:t xml:space="preserve">Baqai </w:t>
      </w:r>
      <w:r w:rsidR="00680997" w:rsidRPr="0060618B">
        <w:rPr>
          <w:rStyle w:val="Strong"/>
          <w:b w:val="0"/>
          <w:bCs w:val="0"/>
          <w:sz w:val="22"/>
          <w:szCs w:val="22"/>
        </w:rPr>
        <w:t>Institute</w:t>
      </w:r>
      <w:r w:rsidR="00680997" w:rsidRPr="0060618B">
        <w:rPr>
          <w:rStyle w:val="Strong"/>
          <w:rFonts w:eastAsiaTheme="minorHAnsi"/>
          <w:b w:val="0"/>
          <w:bCs w:val="0"/>
          <w:sz w:val="22"/>
          <w:szCs w:val="22"/>
        </w:rPr>
        <w:t xml:space="preserve"> o</w:t>
      </w:r>
      <w:r w:rsidR="00680997" w:rsidRPr="0060618B">
        <w:rPr>
          <w:rStyle w:val="Strong"/>
          <w:b w:val="0"/>
          <w:bCs w:val="0"/>
          <w:sz w:val="22"/>
          <w:szCs w:val="22"/>
        </w:rPr>
        <w:t>f Diabetology and Endocrinology</w:t>
      </w:r>
      <w:r w:rsidR="00680997" w:rsidRPr="0060618B">
        <w:rPr>
          <w:sz w:val="22"/>
          <w:szCs w:val="22"/>
        </w:rPr>
        <w:t xml:space="preserve"> (BIDE)</w:t>
      </w:r>
      <w:r w:rsidRPr="0060618B">
        <w:rPr>
          <w:rStyle w:val="Strong"/>
          <w:rFonts w:eastAsiaTheme="minorHAnsi"/>
          <w:b w:val="0"/>
          <w:bCs w:val="0"/>
          <w:sz w:val="22"/>
          <w:szCs w:val="22"/>
        </w:rPr>
        <w:t xml:space="preserve">, Baqai Medical University, Karachi. The study was carried out over </w:t>
      </w:r>
      <w:r w:rsidR="002F2271" w:rsidRPr="0060618B">
        <w:rPr>
          <w:rStyle w:val="Strong"/>
          <w:rFonts w:eastAsiaTheme="minorHAnsi"/>
          <w:b w:val="0"/>
          <w:bCs w:val="0"/>
          <w:sz w:val="22"/>
          <w:szCs w:val="22"/>
        </w:rPr>
        <w:t>one year</w:t>
      </w:r>
      <w:r w:rsidRPr="0060618B">
        <w:rPr>
          <w:rStyle w:val="Strong"/>
          <w:rFonts w:eastAsiaTheme="minorHAnsi"/>
          <w:b w:val="0"/>
          <w:bCs w:val="0"/>
          <w:sz w:val="22"/>
          <w:szCs w:val="22"/>
        </w:rPr>
        <w:t xml:space="preserve"> from June 2023 to June 2024. </w:t>
      </w:r>
      <w:r w:rsidR="006839A2" w:rsidRPr="0060618B">
        <w:rPr>
          <w:rStyle w:val="notrewrittenword"/>
          <w:rFonts w:eastAsiaTheme="majorEastAsia"/>
          <w:sz w:val="22"/>
          <w:szCs w:val="22"/>
        </w:rPr>
        <w:t>Approval from th</w:t>
      </w:r>
      <w:r w:rsidR="00112351" w:rsidRPr="0060618B">
        <w:rPr>
          <w:rStyle w:val="notrewrittenword"/>
          <w:rFonts w:eastAsiaTheme="majorEastAsia"/>
          <w:sz w:val="22"/>
          <w:szCs w:val="22"/>
        </w:rPr>
        <w:t>e Ethical Review Committee</w:t>
      </w:r>
      <w:r w:rsidR="00112351" w:rsidRPr="0060618B">
        <w:rPr>
          <w:rStyle w:val="Strong"/>
          <w:rFonts w:eastAsiaTheme="minorHAnsi"/>
          <w:b w:val="0"/>
          <w:bCs w:val="0"/>
          <w:sz w:val="22"/>
          <w:szCs w:val="22"/>
        </w:rPr>
        <w:t xml:space="preserve"> (</w:t>
      </w:r>
      <w:r w:rsidR="00112351" w:rsidRPr="0060618B">
        <w:rPr>
          <w:sz w:val="22"/>
          <w:szCs w:val="22"/>
        </w:rPr>
        <w:t>BMU-EC/01-2023)</w:t>
      </w:r>
      <w:r w:rsidR="002F2271" w:rsidRPr="0060618B">
        <w:rPr>
          <w:rStyle w:val="Strong"/>
          <w:rFonts w:eastAsiaTheme="minorHAnsi"/>
          <w:b w:val="0"/>
          <w:bCs w:val="0"/>
          <w:sz w:val="22"/>
          <w:szCs w:val="22"/>
        </w:rPr>
        <w:t xml:space="preserve">, </w:t>
      </w:r>
      <w:r w:rsidR="00653B1C" w:rsidRPr="0060618B">
        <w:rPr>
          <w:sz w:val="22"/>
          <w:szCs w:val="22"/>
        </w:rPr>
        <w:t>Baqai Medical University, Karachi, Pakistan</w:t>
      </w:r>
      <w:r w:rsidR="002F2271" w:rsidRPr="0060618B">
        <w:rPr>
          <w:rStyle w:val="Strong"/>
          <w:rFonts w:eastAsiaTheme="minorHAnsi"/>
          <w:b w:val="0"/>
          <w:bCs w:val="0"/>
          <w:sz w:val="22"/>
          <w:szCs w:val="22"/>
        </w:rPr>
        <w:t xml:space="preserve"> </w:t>
      </w:r>
      <w:r w:rsidR="00653B1C" w:rsidRPr="0060618B">
        <w:rPr>
          <w:sz w:val="22"/>
          <w:szCs w:val="22"/>
        </w:rPr>
        <w:t xml:space="preserve">on </w:t>
      </w:r>
      <w:r w:rsidR="002F2271" w:rsidRPr="0060618B">
        <w:rPr>
          <w:sz w:val="22"/>
          <w:szCs w:val="22"/>
        </w:rPr>
        <w:t>July 12, 2023</w:t>
      </w:r>
      <w:r w:rsidR="00653B1C" w:rsidRPr="0060618B">
        <w:rPr>
          <w:sz w:val="22"/>
          <w:szCs w:val="22"/>
        </w:rPr>
        <w:t>.</w:t>
      </w:r>
      <w:r w:rsidR="002F2271" w:rsidRPr="0060618B">
        <w:rPr>
          <w:rStyle w:val="Strong"/>
          <w:rFonts w:eastAsiaTheme="minorHAnsi"/>
          <w:b w:val="0"/>
          <w:bCs w:val="0"/>
          <w:sz w:val="22"/>
          <w:szCs w:val="22"/>
        </w:rPr>
        <w:t xml:space="preserve"> </w:t>
      </w:r>
      <w:r w:rsidR="006839A2" w:rsidRPr="0060618B">
        <w:rPr>
          <w:rStyle w:val="notrewrittenword"/>
          <w:rFonts w:eastAsiaTheme="majorEastAsia"/>
          <w:sz w:val="22"/>
          <w:szCs w:val="22"/>
        </w:rPr>
        <w:t>The study adhered to the principles outlined in the Declaration of Helsinki. Written informed consent was obtained from all participants prior to t</w:t>
      </w:r>
      <w:r w:rsidR="00BC052F" w:rsidRPr="0060618B">
        <w:rPr>
          <w:rStyle w:val="notrewrittenword"/>
          <w:rFonts w:eastAsiaTheme="majorEastAsia"/>
          <w:sz w:val="22"/>
          <w:szCs w:val="22"/>
        </w:rPr>
        <w:t xml:space="preserve">heir enrollment, and </w:t>
      </w:r>
      <w:r w:rsidR="006839A2" w:rsidRPr="0060618B">
        <w:rPr>
          <w:rStyle w:val="notrewrittenword"/>
          <w:rFonts w:eastAsiaTheme="majorEastAsia"/>
          <w:sz w:val="22"/>
          <w:szCs w:val="22"/>
        </w:rPr>
        <w:t xml:space="preserve">confidentiality </w:t>
      </w:r>
      <w:r w:rsidR="00BC052F" w:rsidRPr="0060618B">
        <w:rPr>
          <w:rStyle w:val="notrewrittenword"/>
          <w:rFonts w:eastAsiaTheme="majorEastAsia"/>
          <w:sz w:val="22"/>
          <w:szCs w:val="22"/>
        </w:rPr>
        <w:t xml:space="preserve">of data </w:t>
      </w:r>
      <w:r w:rsidR="006839A2" w:rsidRPr="0060618B">
        <w:rPr>
          <w:rStyle w:val="notrewrittenword"/>
          <w:rFonts w:eastAsiaTheme="majorEastAsia"/>
          <w:sz w:val="22"/>
          <w:szCs w:val="22"/>
        </w:rPr>
        <w:t xml:space="preserve">was strictly maintained throughout. The sample size was calculated using </w:t>
      </w:r>
      <w:r w:rsidR="009077DA" w:rsidRPr="0060618B">
        <w:rPr>
          <w:sz w:val="22"/>
          <w:szCs w:val="22"/>
        </w:rPr>
        <w:t xml:space="preserve">Effect size </w:t>
      </w:r>
      <w:r w:rsidR="006839A2" w:rsidRPr="0060618B">
        <w:rPr>
          <w:rStyle w:val="notrewrittenword"/>
          <w:rFonts w:eastAsiaTheme="majorEastAsia"/>
          <w:sz w:val="22"/>
          <w:szCs w:val="22"/>
        </w:rPr>
        <w:t>OpenEpi online s</w:t>
      </w:r>
      <w:r w:rsidR="00204C1D" w:rsidRPr="0060618B">
        <w:rPr>
          <w:rStyle w:val="notrewrittenword"/>
          <w:rFonts w:eastAsiaTheme="majorEastAsia"/>
          <w:sz w:val="22"/>
          <w:szCs w:val="22"/>
        </w:rPr>
        <w:t>oftware, a</w:t>
      </w:r>
      <w:r w:rsidRPr="0060618B">
        <w:rPr>
          <w:rStyle w:val="Strong"/>
          <w:rFonts w:eastAsiaTheme="minorHAnsi"/>
          <w:b w:val="0"/>
          <w:bCs w:val="0"/>
          <w:sz w:val="22"/>
          <w:szCs w:val="22"/>
        </w:rPr>
        <w:t xml:space="preserve"> confidence level of 95%, a significance level (α) of 1%, and adequate statistical power were assumed. The calculated </w:t>
      </w:r>
      <w:r w:rsidRPr="0060618B">
        <w:rPr>
          <w:rStyle w:val="Strong"/>
          <w:rFonts w:eastAsiaTheme="minorHAnsi"/>
          <w:b w:val="0"/>
          <w:bCs w:val="0"/>
          <w:sz w:val="22"/>
          <w:szCs w:val="22"/>
        </w:rPr>
        <w:lastRenderedPageBreak/>
        <w:t xml:space="preserve">minimum sample size was 138 participants, who were equally distributed into three groups (n = 46 per group). This sample </w:t>
      </w:r>
      <w:r w:rsidR="006839A2" w:rsidRPr="0060618B">
        <w:rPr>
          <w:rStyle w:val="notrewrittenword"/>
          <w:rFonts w:eastAsiaTheme="majorEastAsia"/>
          <w:sz w:val="22"/>
          <w:szCs w:val="22"/>
        </w:rPr>
        <w:t>size was considered adequate to detect significant differences among groups.</w:t>
      </w:r>
      <w:r w:rsidRPr="0060618B">
        <w:rPr>
          <w:rStyle w:val="Strong"/>
          <w:rFonts w:eastAsiaTheme="minorHAnsi"/>
          <w:b w:val="0"/>
          <w:bCs w:val="0"/>
          <w:sz w:val="22"/>
          <w:szCs w:val="22"/>
          <w:vertAlign w:val="superscript"/>
        </w:rPr>
        <w:t>10,11</w:t>
      </w:r>
      <w:r w:rsidRPr="0060618B">
        <w:rPr>
          <w:rStyle w:val="Strong"/>
          <w:rFonts w:eastAsiaTheme="minorHAnsi"/>
          <w:b w:val="0"/>
          <w:bCs w:val="0"/>
          <w:sz w:val="22"/>
          <w:szCs w:val="22"/>
        </w:rPr>
        <w:t xml:space="preserve"> A purposive (non-probability) sampling technique was employed. A total of 138 participants were enrolled and categorized into three groups: Group 1 (Control): Healthy indivi</w:t>
      </w:r>
      <w:r w:rsidR="00B60CED" w:rsidRPr="0060618B">
        <w:rPr>
          <w:rStyle w:val="Strong"/>
          <w:rFonts w:eastAsiaTheme="minorHAnsi"/>
          <w:b w:val="0"/>
          <w:bCs w:val="0"/>
          <w:sz w:val="22"/>
          <w:szCs w:val="22"/>
        </w:rPr>
        <w:t xml:space="preserve">duals (n = 46), Group 2: T2DM </w:t>
      </w:r>
      <w:r w:rsidRPr="0060618B">
        <w:rPr>
          <w:rStyle w:val="Strong"/>
          <w:rFonts w:eastAsiaTheme="minorHAnsi"/>
          <w:b w:val="0"/>
          <w:bCs w:val="0"/>
          <w:sz w:val="22"/>
          <w:szCs w:val="22"/>
        </w:rPr>
        <w:t xml:space="preserve">without foot ulcers (n = 46), Group 3: </w:t>
      </w:r>
      <w:r w:rsidR="00B60CED" w:rsidRPr="0060618B">
        <w:rPr>
          <w:rStyle w:val="Strong"/>
          <w:rFonts w:eastAsiaTheme="minorHAnsi"/>
          <w:b w:val="0"/>
          <w:bCs w:val="0"/>
          <w:sz w:val="22"/>
          <w:szCs w:val="22"/>
        </w:rPr>
        <w:t>T2DM with</w:t>
      </w:r>
      <w:r w:rsidRPr="0060618B">
        <w:rPr>
          <w:rStyle w:val="Strong"/>
          <w:rFonts w:eastAsiaTheme="minorHAnsi"/>
          <w:b w:val="0"/>
          <w:bCs w:val="0"/>
          <w:sz w:val="22"/>
          <w:szCs w:val="22"/>
        </w:rPr>
        <w:t xml:space="preserve"> foot ulcers (n = 46). Patients with type 2 diabetes mellitus of more than five years’ duration, with or without ischemic or neuropathic foot ulcers, were included. The control group consisted of healthy individuals with normal fasting blood glucose (FBG) and HbA1c levels. Inclusion criteria included adult participants of either sex who voluntarily consented to participate. Exclusion criteria were: History of deep vein thrombosis (DVT), Insulin-dependent diabetes mellitus, Foot or leg ulcers due to trauma or non-diabetic causes, Acute or chronic inflammatory diseases unrelated to diabetes. A detailed physical examination was performed, and demographic, clinical, medical, and surgical histories were recorded using a standardized proforma. Venous blood samples were </w:t>
      </w:r>
      <w:r w:rsidR="00FE57A8" w:rsidRPr="0060618B">
        <w:rPr>
          <w:rStyle w:val="Strong"/>
          <w:rFonts w:eastAsiaTheme="minorHAnsi"/>
          <w:b w:val="0"/>
          <w:bCs w:val="0"/>
          <w:sz w:val="22"/>
          <w:szCs w:val="22"/>
        </w:rPr>
        <w:t xml:space="preserve">drawn </w:t>
      </w:r>
      <w:r w:rsidRPr="0060618B">
        <w:rPr>
          <w:rStyle w:val="Strong"/>
          <w:rFonts w:eastAsiaTheme="minorHAnsi"/>
          <w:b w:val="0"/>
          <w:bCs w:val="0"/>
          <w:sz w:val="22"/>
          <w:szCs w:val="22"/>
        </w:rPr>
        <w:t xml:space="preserve">in the morning after an overnight fast of 8–10 hours. Samples were drawn into Plain tubes for biochemical analysis. EDTA-containing tubes for complete blood count (CBC) analysis. HbA1c was measured </w:t>
      </w:r>
      <w:r w:rsidR="00F71390" w:rsidRPr="0060618B">
        <w:rPr>
          <w:rStyle w:val="Strong"/>
          <w:rFonts w:eastAsiaTheme="minorHAnsi"/>
          <w:b w:val="0"/>
          <w:bCs w:val="0"/>
          <w:sz w:val="22"/>
          <w:szCs w:val="22"/>
        </w:rPr>
        <w:t>by</w:t>
      </w:r>
      <w:r w:rsidRPr="0060618B">
        <w:rPr>
          <w:rStyle w:val="Strong"/>
          <w:rFonts w:eastAsiaTheme="minorHAnsi"/>
          <w:b w:val="0"/>
          <w:bCs w:val="0"/>
          <w:sz w:val="22"/>
          <w:szCs w:val="22"/>
        </w:rPr>
        <w:t xml:space="preserve"> High-Performance Liquid Chromatography (HPLC) </w:t>
      </w:r>
      <w:r w:rsidR="00F71390" w:rsidRPr="0060618B">
        <w:rPr>
          <w:rStyle w:val="Strong"/>
          <w:rFonts w:eastAsiaTheme="minorHAnsi"/>
          <w:b w:val="0"/>
          <w:bCs w:val="0"/>
          <w:sz w:val="22"/>
          <w:szCs w:val="22"/>
        </w:rPr>
        <w:t>using a</w:t>
      </w:r>
      <w:r w:rsidRPr="0060618B">
        <w:rPr>
          <w:rStyle w:val="Strong"/>
          <w:rFonts w:eastAsiaTheme="minorHAnsi"/>
          <w:b w:val="0"/>
          <w:bCs w:val="0"/>
          <w:sz w:val="22"/>
          <w:szCs w:val="22"/>
        </w:rPr>
        <w:t xml:space="preserve"> </w:t>
      </w:r>
      <w:r w:rsidR="005E1357" w:rsidRPr="0060618B">
        <w:rPr>
          <w:sz w:val="22"/>
          <w:szCs w:val="22"/>
        </w:rPr>
        <w:t>Lifotronic analyzer.</w:t>
      </w:r>
      <w:r w:rsidRPr="0060618B">
        <w:rPr>
          <w:rStyle w:val="Strong"/>
          <w:rFonts w:eastAsiaTheme="minorHAnsi"/>
          <w:b w:val="0"/>
          <w:bCs w:val="0"/>
          <w:sz w:val="22"/>
          <w:szCs w:val="22"/>
        </w:rPr>
        <w:t xml:space="preserve"> Complete blood count (CBC) was analyzed using a Celltac K automated Coulter counter. Superoxide dism</w:t>
      </w:r>
      <w:r w:rsidR="00F71390" w:rsidRPr="0060618B">
        <w:rPr>
          <w:rStyle w:val="Strong"/>
          <w:rFonts w:eastAsiaTheme="minorHAnsi"/>
          <w:b w:val="0"/>
          <w:bCs w:val="0"/>
          <w:sz w:val="22"/>
          <w:szCs w:val="22"/>
        </w:rPr>
        <w:t>utase (SOD) levels was evaluated through</w:t>
      </w:r>
      <w:r w:rsidRPr="0060618B">
        <w:rPr>
          <w:rStyle w:val="Strong"/>
          <w:rFonts w:eastAsiaTheme="minorHAnsi"/>
          <w:b w:val="0"/>
          <w:bCs w:val="0"/>
          <w:sz w:val="22"/>
          <w:szCs w:val="22"/>
        </w:rPr>
        <w:t xml:space="preserve"> the enzyme-linked immunosorbent assay (ELISA) method</w:t>
      </w:r>
      <w:r w:rsidR="005E1357" w:rsidRPr="0060618B">
        <w:rPr>
          <w:rStyle w:val="Strong"/>
          <w:rFonts w:eastAsiaTheme="minorHAnsi"/>
          <w:b w:val="0"/>
          <w:bCs w:val="0"/>
          <w:sz w:val="22"/>
          <w:szCs w:val="22"/>
        </w:rPr>
        <w:t xml:space="preserve"> by </w:t>
      </w:r>
      <w:r w:rsidR="005E1357" w:rsidRPr="0060618B">
        <w:rPr>
          <w:sz w:val="22"/>
          <w:szCs w:val="22"/>
        </w:rPr>
        <w:t>BT</w:t>
      </w:r>
      <w:r w:rsidR="005E1357" w:rsidRPr="0060618B">
        <w:rPr>
          <w:spacing w:val="-3"/>
          <w:sz w:val="22"/>
          <w:szCs w:val="22"/>
        </w:rPr>
        <w:t xml:space="preserve"> </w:t>
      </w:r>
      <w:r w:rsidR="005E1357" w:rsidRPr="0060618B">
        <w:rPr>
          <w:spacing w:val="-5"/>
          <w:sz w:val="22"/>
          <w:szCs w:val="22"/>
        </w:rPr>
        <w:t>Lab</w:t>
      </w:r>
      <w:r w:rsidRPr="0060618B">
        <w:rPr>
          <w:rStyle w:val="Strong"/>
          <w:rFonts w:eastAsiaTheme="minorHAnsi"/>
          <w:b w:val="0"/>
          <w:bCs w:val="0"/>
          <w:sz w:val="22"/>
          <w:szCs w:val="22"/>
        </w:rPr>
        <w:t>. C-reactive protein (CRP) levels were assessed using immunoturbidimetric analysis on the Indiko™ Thermo Fisher Scientific system</w:t>
      </w:r>
      <w:r w:rsidR="004D163A" w:rsidRPr="0060618B">
        <w:rPr>
          <w:rStyle w:val="Strong"/>
          <w:rFonts w:eastAsiaTheme="minorHAnsi"/>
          <w:b w:val="0"/>
          <w:bCs w:val="0"/>
          <w:sz w:val="22"/>
          <w:szCs w:val="22"/>
        </w:rPr>
        <w:t>, Finland</w:t>
      </w:r>
      <w:r w:rsidRPr="0060618B">
        <w:rPr>
          <w:rStyle w:val="Strong"/>
          <w:rFonts w:eastAsiaTheme="minorHAnsi"/>
          <w:b w:val="0"/>
          <w:bCs w:val="0"/>
          <w:sz w:val="22"/>
          <w:szCs w:val="22"/>
        </w:rPr>
        <w:t xml:space="preserve">. </w:t>
      </w:r>
      <w:r w:rsidR="00F71390" w:rsidRPr="0060618B">
        <w:rPr>
          <w:sz w:val="22"/>
          <w:szCs w:val="22"/>
        </w:rPr>
        <w:t>The neutrophil-to-lymphocyte ratio (NLR) was calculated by dividing the absolute number of neutrophil by the number of lymphocyte.</w:t>
      </w:r>
      <w:r w:rsidRPr="0060618B">
        <w:rPr>
          <w:rStyle w:val="Strong"/>
          <w:rFonts w:eastAsiaTheme="minorHAnsi"/>
          <w:b w:val="0"/>
          <w:bCs w:val="0"/>
          <w:sz w:val="22"/>
          <w:szCs w:val="22"/>
        </w:rPr>
        <w:t xml:space="preserve"> Data entry and statistical analysis were carried out using predefined criteria to minimize analytical bias. Using IBM SPSS version 23.0, data analysis was </w:t>
      </w:r>
      <w:r w:rsidR="000C59C7" w:rsidRPr="0060618B">
        <w:rPr>
          <w:rStyle w:val="Strong"/>
          <w:rFonts w:eastAsiaTheme="minorHAnsi"/>
          <w:b w:val="0"/>
          <w:bCs w:val="0"/>
          <w:sz w:val="22"/>
          <w:szCs w:val="22"/>
        </w:rPr>
        <w:t>performed</w:t>
      </w:r>
      <w:r w:rsidRPr="0060618B">
        <w:rPr>
          <w:rStyle w:val="Strong"/>
          <w:rFonts w:eastAsiaTheme="minorHAnsi"/>
          <w:b w:val="0"/>
          <w:bCs w:val="0"/>
          <w:sz w:val="22"/>
          <w:szCs w:val="22"/>
        </w:rPr>
        <w:t xml:space="preserve">. </w:t>
      </w:r>
      <w:r w:rsidR="00A562A9" w:rsidRPr="0060618B">
        <w:rPr>
          <w:sz w:val="22"/>
          <w:szCs w:val="22"/>
        </w:rPr>
        <w:t>The normality of continuous variables was assessed using the</w:t>
      </w:r>
      <w:r w:rsidR="00A562A9" w:rsidRPr="0060618B">
        <w:rPr>
          <w:b/>
          <w:sz w:val="22"/>
          <w:szCs w:val="22"/>
        </w:rPr>
        <w:t xml:space="preserve"> </w:t>
      </w:r>
      <w:r w:rsidR="00A562A9" w:rsidRPr="0060618B">
        <w:rPr>
          <w:rStyle w:val="Strong"/>
          <w:b w:val="0"/>
          <w:sz w:val="22"/>
          <w:szCs w:val="22"/>
        </w:rPr>
        <w:t>Shapiro–Wilk test</w:t>
      </w:r>
      <w:r w:rsidR="00A562A9" w:rsidRPr="0060618B">
        <w:rPr>
          <w:b/>
          <w:sz w:val="22"/>
          <w:szCs w:val="22"/>
        </w:rPr>
        <w:t>.</w:t>
      </w:r>
      <w:r w:rsidR="00887D17" w:rsidRPr="0060618B">
        <w:rPr>
          <w:sz w:val="22"/>
          <w:szCs w:val="22"/>
        </w:rPr>
        <w:t xml:space="preserve"> As fasting blood </w:t>
      </w:r>
      <w:r w:rsidR="00A562A9" w:rsidRPr="0060618B">
        <w:rPr>
          <w:sz w:val="22"/>
          <w:szCs w:val="22"/>
        </w:rPr>
        <w:t>FBG</w:t>
      </w:r>
      <w:r w:rsidR="00887D17" w:rsidRPr="0060618B">
        <w:rPr>
          <w:sz w:val="22"/>
          <w:szCs w:val="22"/>
        </w:rPr>
        <w:t xml:space="preserve">, HbA1c, </w:t>
      </w:r>
      <w:r w:rsidR="00A562A9" w:rsidRPr="0060618B">
        <w:rPr>
          <w:sz w:val="22"/>
          <w:szCs w:val="22"/>
        </w:rPr>
        <w:t xml:space="preserve">SOD, </w:t>
      </w:r>
      <w:r w:rsidR="00887D17" w:rsidRPr="0060618B">
        <w:rPr>
          <w:sz w:val="22"/>
          <w:szCs w:val="22"/>
        </w:rPr>
        <w:t>CBC</w:t>
      </w:r>
      <w:r w:rsidR="00A562A9" w:rsidRPr="0060618B">
        <w:rPr>
          <w:sz w:val="22"/>
          <w:szCs w:val="22"/>
        </w:rPr>
        <w:t xml:space="preserve"> parameters, and CRP were not normally distributed, they are presented as </w:t>
      </w:r>
      <w:r w:rsidR="00A562A9" w:rsidRPr="0060618B">
        <w:rPr>
          <w:rStyle w:val="Strong"/>
          <w:b w:val="0"/>
          <w:sz w:val="22"/>
          <w:szCs w:val="22"/>
        </w:rPr>
        <w:t>median with interquartile range (IQR; 25th–75th percentile)</w:t>
      </w:r>
      <w:r w:rsidR="00A562A9" w:rsidRPr="0060618B">
        <w:rPr>
          <w:b/>
          <w:sz w:val="22"/>
          <w:szCs w:val="22"/>
        </w:rPr>
        <w:t>.</w:t>
      </w:r>
      <w:r w:rsidR="00A562A9" w:rsidRPr="0060618B">
        <w:rPr>
          <w:sz w:val="22"/>
          <w:szCs w:val="22"/>
        </w:rPr>
        <w:t xml:space="preserve"> Comparisons among the t</w:t>
      </w:r>
      <w:r w:rsidR="00887D17" w:rsidRPr="0060618B">
        <w:rPr>
          <w:sz w:val="22"/>
          <w:szCs w:val="22"/>
        </w:rPr>
        <w:t>hree study groups were analysed</w:t>
      </w:r>
      <w:r w:rsidR="00A562A9" w:rsidRPr="0060618B">
        <w:rPr>
          <w:sz w:val="22"/>
          <w:szCs w:val="22"/>
        </w:rPr>
        <w:t xml:space="preserve"> using the </w:t>
      </w:r>
      <w:r w:rsidR="00A562A9" w:rsidRPr="0060618B">
        <w:rPr>
          <w:rStyle w:val="Strong"/>
          <w:b w:val="0"/>
          <w:sz w:val="22"/>
          <w:szCs w:val="22"/>
        </w:rPr>
        <w:t>Kruskal–Wallis test</w:t>
      </w:r>
      <w:r w:rsidR="00A562A9" w:rsidRPr="0060618B">
        <w:rPr>
          <w:b/>
          <w:sz w:val="22"/>
          <w:szCs w:val="22"/>
        </w:rPr>
        <w:t xml:space="preserve">. </w:t>
      </w:r>
      <w:r w:rsidR="00A562A9" w:rsidRPr="0060618B">
        <w:rPr>
          <w:sz w:val="22"/>
          <w:szCs w:val="22"/>
        </w:rPr>
        <w:t xml:space="preserve">For variables showing a statistically significant overall difference, </w:t>
      </w:r>
      <w:r w:rsidR="00A562A9" w:rsidRPr="00786E87">
        <w:rPr>
          <w:rStyle w:val="Strong"/>
          <w:b w:val="0"/>
          <w:sz w:val="22"/>
          <w:szCs w:val="22"/>
        </w:rPr>
        <w:t>Dunnett's T3 post hoc test</w:t>
      </w:r>
      <w:r w:rsidR="00A562A9" w:rsidRPr="0060618B">
        <w:rPr>
          <w:sz w:val="22"/>
          <w:szCs w:val="22"/>
        </w:rPr>
        <w:t xml:space="preserve"> was used for pairwise comparisons. Multinomial logistic regression analysis was performed to identify independent predictors of T2DM and </w:t>
      </w:r>
      <w:r w:rsidR="00887D17" w:rsidRPr="0060618B">
        <w:rPr>
          <w:sz w:val="22"/>
          <w:szCs w:val="22"/>
        </w:rPr>
        <w:t>DFU</w:t>
      </w:r>
      <w:r w:rsidR="00A562A9" w:rsidRPr="0060618B">
        <w:rPr>
          <w:sz w:val="22"/>
          <w:szCs w:val="22"/>
        </w:rPr>
        <w:t xml:space="preserve">, with the healthy control group as the reference category. The </w:t>
      </w:r>
      <w:r w:rsidR="004D163A" w:rsidRPr="0060618B">
        <w:rPr>
          <w:sz w:val="22"/>
          <w:szCs w:val="22"/>
        </w:rPr>
        <w:t xml:space="preserve">strength </w:t>
      </w:r>
      <w:r w:rsidR="00887D17" w:rsidRPr="0060618B">
        <w:rPr>
          <w:sz w:val="22"/>
          <w:szCs w:val="22"/>
        </w:rPr>
        <w:t xml:space="preserve">of associations was described </w:t>
      </w:r>
      <w:r w:rsidR="00A562A9" w:rsidRPr="0060618B">
        <w:rPr>
          <w:sz w:val="22"/>
          <w:szCs w:val="22"/>
        </w:rPr>
        <w:t xml:space="preserve">as </w:t>
      </w:r>
      <w:r w:rsidR="00A562A9" w:rsidRPr="0060618B">
        <w:rPr>
          <w:rStyle w:val="Strong"/>
          <w:b w:val="0"/>
          <w:sz w:val="22"/>
          <w:szCs w:val="22"/>
        </w:rPr>
        <w:t>odds ratios (ORs) with 95% confidence intervals (95% CIs)</w:t>
      </w:r>
      <w:r w:rsidR="00A562A9" w:rsidRPr="0060618B">
        <w:rPr>
          <w:b/>
          <w:sz w:val="22"/>
          <w:szCs w:val="22"/>
        </w:rPr>
        <w:t>.</w:t>
      </w:r>
      <w:r w:rsidR="00A562A9" w:rsidRPr="0060618B">
        <w:rPr>
          <w:sz w:val="22"/>
          <w:szCs w:val="22"/>
        </w:rPr>
        <w:t xml:space="preserve"> A two-tailed </w:t>
      </w:r>
      <w:r w:rsidR="00A562A9" w:rsidRPr="0060618B">
        <w:rPr>
          <w:rStyle w:val="Strong"/>
          <w:b w:val="0"/>
          <w:sz w:val="22"/>
          <w:szCs w:val="22"/>
        </w:rPr>
        <w:t>p-value &lt; 0.05</w:t>
      </w:r>
      <w:r w:rsidR="00A562A9" w:rsidRPr="0060618B">
        <w:rPr>
          <w:sz w:val="22"/>
          <w:szCs w:val="22"/>
        </w:rPr>
        <w:t xml:space="preserve"> was </w:t>
      </w:r>
      <w:r w:rsidR="00224A91" w:rsidRPr="0060618B">
        <w:rPr>
          <w:sz w:val="22"/>
          <w:szCs w:val="22"/>
        </w:rPr>
        <w:t xml:space="preserve">considered </w:t>
      </w:r>
      <w:r w:rsidR="00A562A9" w:rsidRPr="0060618B">
        <w:rPr>
          <w:sz w:val="22"/>
          <w:szCs w:val="22"/>
        </w:rPr>
        <w:t>statistically significant for all analyses.</w:t>
      </w:r>
    </w:p>
    <w:p w14:paraId="54C92E8C" w14:textId="77777777" w:rsidR="00BE5263" w:rsidRPr="0060618B" w:rsidRDefault="00BE5263" w:rsidP="0060618B">
      <w:pPr>
        <w:pStyle w:val="NormalWeb"/>
        <w:spacing w:before="0" w:beforeAutospacing="0" w:after="0" w:afterAutospacing="0" w:line="276" w:lineRule="auto"/>
        <w:jc w:val="both"/>
        <w:rPr>
          <w:b/>
          <w:sz w:val="22"/>
          <w:szCs w:val="22"/>
        </w:rPr>
      </w:pPr>
    </w:p>
    <w:p w14:paraId="2517EBEA" w14:textId="647F8606" w:rsidR="00224A91" w:rsidRPr="0060618B" w:rsidRDefault="00786E87" w:rsidP="0060618B">
      <w:pPr>
        <w:pStyle w:val="NormalWeb"/>
        <w:spacing w:before="0" w:beforeAutospacing="0" w:after="0" w:afterAutospacing="0" w:line="276" w:lineRule="auto"/>
        <w:jc w:val="both"/>
        <w:rPr>
          <w:b/>
          <w:sz w:val="22"/>
          <w:szCs w:val="22"/>
        </w:rPr>
      </w:pPr>
      <w:r w:rsidRPr="0060618B">
        <w:rPr>
          <w:b/>
          <w:sz w:val="22"/>
          <w:szCs w:val="22"/>
        </w:rPr>
        <w:t xml:space="preserve">Results </w:t>
      </w:r>
    </w:p>
    <w:p w14:paraId="1AF98EBA" w14:textId="1498B92C" w:rsidR="004D163A" w:rsidRPr="0060618B" w:rsidRDefault="00786E87" w:rsidP="0060618B">
      <w:pPr>
        <w:pStyle w:val="NormalWeb"/>
        <w:spacing w:before="0" w:beforeAutospacing="0" w:after="0" w:afterAutospacing="0" w:line="276" w:lineRule="auto"/>
        <w:jc w:val="both"/>
        <w:rPr>
          <w:sz w:val="22"/>
          <w:szCs w:val="22"/>
        </w:rPr>
      </w:pPr>
      <w:r>
        <w:rPr>
          <w:sz w:val="22"/>
          <w:szCs w:val="22"/>
        </w:rPr>
        <w:t>Table 1</w:t>
      </w:r>
      <w:r w:rsidR="000D2AF4" w:rsidRPr="0060618B">
        <w:rPr>
          <w:sz w:val="22"/>
          <w:szCs w:val="22"/>
        </w:rPr>
        <w:t xml:space="preserve"> </w:t>
      </w:r>
      <w:r w:rsidR="00430B06" w:rsidRPr="0060618B">
        <w:rPr>
          <w:sz w:val="22"/>
          <w:szCs w:val="22"/>
        </w:rPr>
        <w:t>-</w:t>
      </w:r>
      <w:r w:rsidR="004D163A" w:rsidRPr="0060618B">
        <w:rPr>
          <w:sz w:val="22"/>
          <w:szCs w:val="22"/>
        </w:rPr>
        <w:t xml:space="preserve">The median of FBG and HbA1c increased progressively from healthy controls to T2DM and DFU patients </w:t>
      </w:r>
      <w:r w:rsidR="004D163A" w:rsidRPr="00786E87">
        <w:rPr>
          <w:rStyle w:val="Strong"/>
          <w:b w:val="0"/>
          <w:sz w:val="22"/>
          <w:szCs w:val="22"/>
        </w:rPr>
        <w:t>(p&lt;0.001).</w:t>
      </w:r>
      <w:r w:rsidR="004D163A" w:rsidRPr="0060618B">
        <w:rPr>
          <w:rStyle w:val="Strong"/>
          <w:sz w:val="22"/>
          <w:szCs w:val="22"/>
        </w:rPr>
        <w:t xml:space="preserve"> </w:t>
      </w:r>
      <w:r w:rsidR="004D163A" w:rsidRPr="0060618B">
        <w:rPr>
          <w:rStyle w:val="Strong"/>
          <w:b w:val="0"/>
          <w:sz w:val="22"/>
          <w:szCs w:val="22"/>
        </w:rPr>
        <w:t xml:space="preserve">Conversely, SOD levels declined significantly across the three groups, indicating progressive impairment of antioxidant defense. CRP, WBC count, neutrophil percentage, and NLR were highest in the DFU group, whereas lymphocyte percentage was significantly lower </w:t>
      </w:r>
      <w:r w:rsidR="004D163A" w:rsidRPr="0060618B">
        <w:rPr>
          <w:sz w:val="22"/>
          <w:szCs w:val="22"/>
        </w:rPr>
        <w:t>(p &lt; 0.01) for all parameters by using the Kruskal–Wallis test.</w:t>
      </w:r>
      <w:r w:rsidR="00224A91" w:rsidRPr="0060618B">
        <w:rPr>
          <w:sz w:val="22"/>
          <w:szCs w:val="22"/>
        </w:rPr>
        <w:t xml:space="preserve"> </w:t>
      </w:r>
    </w:p>
    <w:p w14:paraId="6ECB2C42" w14:textId="54A3E79D" w:rsidR="00D766F0" w:rsidRPr="0060618B" w:rsidRDefault="000D2AF4" w:rsidP="0060618B">
      <w:pPr>
        <w:pStyle w:val="NormalWeb"/>
        <w:spacing w:before="0" w:beforeAutospacing="0" w:after="0" w:afterAutospacing="0" w:line="276" w:lineRule="auto"/>
        <w:jc w:val="both"/>
        <w:rPr>
          <w:sz w:val="22"/>
          <w:szCs w:val="22"/>
        </w:rPr>
      </w:pPr>
      <w:r w:rsidRPr="0060618B">
        <w:rPr>
          <w:sz w:val="22"/>
          <w:szCs w:val="22"/>
        </w:rPr>
        <w:t>Table 2 presents the post hoc analysis using Dunnett T3, which revealed that: FBG and HbA1c we</w:t>
      </w:r>
      <w:r w:rsidR="0092684E" w:rsidRPr="0060618B">
        <w:rPr>
          <w:sz w:val="22"/>
          <w:szCs w:val="22"/>
        </w:rPr>
        <w:t xml:space="preserve">re </w:t>
      </w:r>
      <w:r w:rsidR="004D163A" w:rsidRPr="0060618B">
        <w:rPr>
          <w:sz w:val="22"/>
          <w:szCs w:val="22"/>
        </w:rPr>
        <w:t xml:space="preserve">significantly </w:t>
      </w:r>
      <w:r w:rsidR="002F4A4D" w:rsidRPr="0060618B">
        <w:rPr>
          <w:sz w:val="22"/>
          <w:szCs w:val="22"/>
        </w:rPr>
        <w:t xml:space="preserve"> increased </w:t>
      </w:r>
      <w:r w:rsidR="0092684E" w:rsidRPr="0060618B">
        <w:rPr>
          <w:sz w:val="22"/>
          <w:szCs w:val="22"/>
        </w:rPr>
        <w:t xml:space="preserve">in both T2DM groups (with and without foot ulcers) </w:t>
      </w:r>
      <w:r w:rsidRPr="0060618B">
        <w:rPr>
          <w:sz w:val="22"/>
          <w:szCs w:val="22"/>
        </w:rPr>
        <w:t xml:space="preserve">compared with </w:t>
      </w:r>
      <w:r w:rsidR="002F4A4D" w:rsidRPr="0060618B">
        <w:rPr>
          <w:sz w:val="22"/>
          <w:szCs w:val="22"/>
        </w:rPr>
        <w:t>normal healthy group</w:t>
      </w:r>
      <w:r w:rsidRPr="0060618B">
        <w:rPr>
          <w:sz w:val="22"/>
          <w:szCs w:val="22"/>
        </w:rPr>
        <w:t xml:space="preserve"> (p &lt; 0.001), CRP levels were </w:t>
      </w:r>
      <w:r w:rsidR="004D163A" w:rsidRPr="0060618B">
        <w:rPr>
          <w:sz w:val="22"/>
          <w:szCs w:val="22"/>
        </w:rPr>
        <w:t xml:space="preserve">significantly </w:t>
      </w:r>
      <w:r w:rsidR="0092684E" w:rsidRPr="0060618B">
        <w:rPr>
          <w:sz w:val="22"/>
          <w:szCs w:val="22"/>
        </w:rPr>
        <w:t xml:space="preserve"> </w:t>
      </w:r>
      <w:r w:rsidR="002F4A4D" w:rsidRPr="0060618B">
        <w:rPr>
          <w:sz w:val="22"/>
          <w:szCs w:val="22"/>
        </w:rPr>
        <w:t xml:space="preserve">increased </w:t>
      </w:r>
      <w:r w:rsidR="00A76D74" w:rsidRPr="0060618B">
        <w:rPr>
          <w:sz w:val="22"/>
          <w:szCs w:val="22"/>
        </w:rPr>
        <w:t xml:space="preserve">in </w:t>
      </w:r>
      <w:r w:rsidR="002F4A4D" w:rsidRPr="0060618B">
        <w:rPr>
          <w:sz w:val="22"/>
          <w:szCs w:val="22"/>
        </w:rPr>
        <w:t xml:space="preserve">T2DM with </w:t>
      </w:r>
      <w:r w:rsidRPr="0060618B">
        <w:rPr>
          <w:sz w:val="22"/>
          <w:szCs w:val="22"/>
        </w:rPr>
        <w:t xml:space="preserve">foot ulcer group compared with both </w:t>
      </w:r>
      <w:r w:rsidR="00A76D74" w:rsidRPr="0060618B">
        <w:rPr>
          <w:sz w:val="22"/>
          <w:szCs w:val="22"/>
        </w:rPr>
        <w:t xml:space="preserve">healthy </w:t>
      </w:r>
      <w:r w:rsidRPr="0060618B">
        <w:rPr>
          <w:sz w:val="22"/>
          <w:szCs w:val="22"/>
        </w:rPr>
        <w:t xml:space="preserve">controls and </w:t>
      </w:r>
      <w:r w:rsidR="0092684E" w:rsidRPr="0060618B">
        <w:rPr>
          <w:sz w:val="22"/>
          <w:szCs w:val="22"/>
        </w:rPr>
        <w:t>T2DM</w:t>
      </w:r>
      <w:r w:rsidRPr="0060618B">
        <w:rPr>
          <w:sz w:val="22"/>
          <w:szCs w:val="22"/>
        </w:rPr>
        <w:t xml:space="preserve"> without ulcers (p &lt; 0.001), SOD levels differed </w:t>
      </w:r>
      <w:r w:rsidR="004D163A" w:rsidRPr="0060618B">
        <w:rPr>
          <w:sz w:val="22"/>
          <w:szCs w:val="22"/>
        </w:rPr>
        <w:t xml:space="preserve">significantly </w:t>
      </w:r>
      <w:r w:rsidRPr="0060618B">
        <w:rPr>
          <w:sz w:val="22"/>
          <w:szCs w:val="22"/>
        </w:rPr>
        <w:t xml:space="preserve"> among all </w:t>
      </w:r>
      <w:r w:rsidR="00C377DD" w:rsidRPr="0060618B">
        <w:rPr>
          <w:sz w:val="22"/>
          <w:szCs w:val="22"/>
        </w:rPr>
        <w:t xml:space="preserve">included </w:t>
      </w:r>
      <w:r w:rsidRPr="0060618B">
        <w:rPr>
          <w:sz w:val="22"/>
          <w:szCs w:val="22"/>
        </w:rPr>
        <w:t>groups (p &lt; 0.001), confirming a stepwise reduction in antioxidant de</w:t>
      </w:r>
      <w:r w:rsidR="005A164F" w:rsidRPr="0060618B">
        <w:rPr>
          <w:sz w:val="22"/>
          <w:szCs w:val="22"/>
        </w:rPr>
        <w:t xml:space="preserve">fense with disease progression, </w:t>
      </w:r>
      <w:r w:rsidRPr="0060618B">
        <w:rPr>
          <w:sz w:val="22"/>
          <w:szCs w:val="22"/>
        </w:rPr>
        <w:t xml:space="preserve">TLC was </w:t>
      </w:r>
      <w:r w:rsidR="004D163A" w:rsidRPr="0060618B">
        <w:rPr>
          <w:sz w:val="22"/>
          <w:szCs w:val="22"/>
        </w:rPr>
        <w:t xml:space="preserve">significantly </w:t>
      </w:r>
      <w:r w:rsidRPr="0060618B">
        <w:rPr>
          <w:sz w:val="22"/>
          <w:szCs w:val="22"/>
        </w:rPr>
        <w:t xml:space="preserve"> elevated in </w:t>
      </w:r>
      <w:r w:rsidR="0092684E" w:rsidRPr="0060618B">
        <w:rPr>
          <w:sz w:val="22"/>
          <w:szCs w:val="22"/>
        </w:rPr>
        <w:t xml:space="preserve">T2DM patients </w:t>
      </w:r>
      <w:r w:rsidRPr="0060618B">
        <w:rPr>
          <w:sz w:val="22"/>
          <w:szCs w:val="22"/>
        </w:rPr>
        <w:t xml:space="preserve">with foot ulcers compared with controls (p = 0.025), Neutrophil percentage and NLR were </w:t>
      </w:r>
      <w:r w:rsidR="004D163A" w:rsidRPr="0060618B">
        <w:rPr>
          <w:sz w:val="22"/>
          <w:szCs w:val="22"/>
        </w:rPr>
        <w:t xml:space="preserve">significantly </w:t>
      </w:r>
      <w:r w:rsidRPr="0060618B">
        <w:rPr>
          <w:sz w:val="22"/>
          <w:szCs w:val="22"/>
        </w:rPr>
        <w:t xml:space="preserve"> higher, and </w:t>
      </w:r>
      <w:r w:rsidRPr="0060618B">
        <w:rPr>
          <w:sz w:val="22"/>
          <w:szCs w:val="22"/>
        </w:rPr>
        <w:lastRenderedPageBreak/>
        <w:t>lymphocyte percentage</w:t>
      </w:r>
      <w:r w:rsidR="00C377DD" w:rsidRPr="0060618B">
        <w:rPr>
          <w:sz w:val="22"/>
          <w:szCs w:val="22"/>
        </w:rPr>
        <w:t xml:space="preserve"> </w:t>
      </w:r>
      <w:r w:rsidR="002F4A4D" w:rsidRPr="0060618B">
        <w:rPr>
          <w:sz w:val="22"/>
          <w:szCs w:val="22"/>
        </w:rPr>
        <w:t>(L%)</w:t>
      </w:r>
      <w:r w:rsidRPr="0060618B">
        <w:rPr>
          <w:sz w:val="22"/>
          <w:szCs w:val="22"/>
        </w:rPr>
        <w:t xml:space="preserve"> </w:t>
      </w:r>
      <w:r w:rsidR="004D163A" w:rsidRPr="0060618B">
        <w:rPr>
          <w:sz w:val="22"/>
          <w:szCs w:val="22"/>
        </w:rPr>
        <w:t xml:space="preserve">significantly </w:t>
      </w:r>
      <w:r w:rsidRPr="0060618B">
        <w:rPr>
          <w:sz w:val="22"/>
          <w:szCs w:val="22"/>
        </w:rPr>
        <w:t xml:space="preserve"> lower, in the foot ulcer group compared with both other groups (p &lt; 0.01). </w:t>
      </w:r>
      <w:r w:rsidR="009044BA" w:rsidRPr="00786E87">
        <w:rPr>
          <w:rStyle w:val="Strong"/>
          <w:b w:val="0"/>
          <w:sz w:val="22"/>
          <w:szCs w:val="22"/>
        </w:rPr>
        <w:t>Table 3</w:t>
      </w:r>
      <w:r w:rsidR="009044BA" w:rsidRPr="0060618B">
        <w:rPr>
          <w:sz w:val="22"/>
          <w:szCs w:val="22"/>
        </w:rPr>
        <w:t xml:space="preserve"> presents the multinomial logistic regression analysis identifying independent predictors of T2DM and diabetic foot ulcers. Higher FBG, HbA1c, and WBC count were significantly associated with increased odds of T2DM</w:t>
      </w:r>
      <w:r w:rsidR="00CF5C23" w:rsidRPr="0060618B">
        <w:rPr>
          <w:sz w:val="22"/>
          <w:szCs w:val="22"/>
        </w:rPr>
        <w:t xml:space="preserve"> {[OR = 1.06; 95% CI: 1.03–1.10]</w:t>
      </w:r>
      <w:r w:rsidR="009044BA" w:rsidRPr="0060618B">
        <w:rPr>
          <w:sz w:val="22"/>
          <w:szCs w:val="22"/>
        </w:rPr>
        <w:t>,</w:t>
      </w:r>
      <w:r w:rsidR="00CF5C23" w:rsidRPr="0060618B">
        <w:rPr>
          <w:sz w:val="22"/>
          <w:szCs w:val="22"/>
        </w:rPr>
        <w:t xml:space="preserve"> [OR = 72.6; 95% CI: 9.56–552], [OR = 1.44; 95% CI: 1.16–1.78]}</w:t>
      </w:r>
      <w:r w:rsidR="009044BA" w:rsidRPr="0060618B">
        <w:rPr>
          <w:sz w:val="22"/>
          <w:szCs w:val="22"/>
        </w:rPr>
        <w:t xml:space="preserve"> whereas </w:t>
      </w:r>
      <w:r w:rsidR="002F70F7" w:rsidRPr="0060618B">
        <w:rPr>
          <w:sz w:val="22"/>
          <w:szCs w:val="22"/>
        </w:rPr>
        <w:t>In contrast, SOD showed a protective (negative) association with T2DM [OR = 0.91; 95% CI: 0.88–0.94]</w:t>
      </w:r>
      <w:r w:rsidR="00F53F22" w:rsidRPr="0060618B">
        <w:rPr>
          <w:sz w:val="22"/>
          <w:szCs w:val="22"/>
        </w:rPr>
        <w:t xml:space="preserve"> respectively</w:t>
      </w:r>
      <w:r w:rsidR="002F70F7" w:rsidRPr="0060618B">
        <w:rPr>
          <w:sz w:val="22"/>
          <w:szCs w:val="22"/>
        </w:rPr>
        <w:t>.</w:t>
      </w:r>
      <w:r w:rsidR="009044BA" w:rsidRPr="0060618B">
        <w:rPr>
          <w:sz w:val="22"/>
          <w:szCs w:val="22"/>
        </w:rPr>
        <w:t xml:space="preserve"> Among patients with </w:t>
      </w:r>
      <w:r w:rsidR="00F53F22" w:rsidRPr="0060618B">
        <w:rPr>
          <w:sz w:val="22"/>
          <w:szCs w:val="22"/>
        </w:rPr>
        <w:t>DFU group</w:t>
      </w:r>
      <w:r w:rsidR="009044BA" w:rsidRPr="0060618B">
        <w:rPr>
          <w:sz w:val="22"/>
          <w:szCs w:val="22"/>
        </w:rPr>
        <w:t xml:space="preserve">, elevated FBG, HbA1c, CRP, WBC count, neutrophil percentage, and NLR were </w:t>
      </w:r>
      <w:r w:rsidR="00F53F22" w:rsidRPr="0060618B">
        <w:rPr>
          <w:sz w:val="22"/>
          <w:szCs w:val="22"/>
        </w:rPr>
        <w:t>significant positive predictors {</w:t>
      </w:r>
      <w:r w:rsidR="004821FE" w:rsidRPr="0060618B">
        <w:rPr>
          <w:sz w:val="22"/>
          <w:szCs w:val="22"/>
        </w:rPr>
        <w:t xml:space="preserve">[OR = 1.06; 95% CI: 1.03–1.09], [OR = 89.0; 95% CI: 11.6–680], [OR = 1.08; 95% CI: 1.02–1.13], [OR = 1.47; 95% CI: 1.18–1.82], [OR = 1.09; 95% CI: 1.04–1.15], and [OR = 1.86; 95% CI: 1.28–2.71]} respectively </w:t>
      </w:r>
      <w:r w:rsidR="009044BA" w:rsidRPr="0060618B">
        <w:rPr>
          <w:sz w:val="22"/>
          <w:szCs w:val="22"/>
        </w:rPr>
        <w:t>while higher SOD and lymphocyte percentage were negatively associated</w:t>
      </w:r>
      <w:r w:rsidR="004821FE" w:rsidRPr="0060618B">
        <w:rPr>
          <w:sz w:val="22"/>
          <w:szCs w:val="22"/>
        </w:rPr>
        <w:t xml:space="preserve"> {[OR = 0.87; 95% CI: 0.84–0.91]</w:t>
      </w:r>
      <w:r w:rsidR="009044BA" w:rsidRPr="0060618B">
        <w:rPr>
          <w:sz w:val="22"/>
          <w:szCs w:val="22"/>
        </w:rPr>
        <w:t xml:space="preserve">, </w:t>
      </w:r>
      <w:r w:rsidR="004821FE" w:rsidRPr="0060618B">
        <w:rPr>
          <w:sz w:val="22"/>
          <w:szCs w:val="22"/>
        </w:rPr>
        <w:t xml:space="preserve">and [OR = 0.88; 95% CI: 0.83–0.94] } respectively </w:t>
      </w:r>
      <w:r w:rsidR="009044BA" w:rsidRPr="0060618B">
        <w:rPr>
          <w:sz w:val="22"/>
          <w:szCs w:val="22"/>
        </w:rPr>
        <w:t>indicating protective effects. All reported associations were statistically significant (</w:t>
      </w:r>
      <w:r w:rsidR="009044BA" w:rsidRPr="00786E87">
        <w:rPr>
          <w:rStyle w:val="Strong"/>
          <w:b w:val="0"/>
          <w:sz w:val="22"/>
          <w:szCs w:val="22"/>
        </w:rPr>
        <w:t>p &lt; 0.05</w:t>
      </w:r>
      <w:r w:rsidR="009044BA" w:rsidRPr="0060618B">
        <w:rPr>
          <w:sz w:val="22"/>
          <w:szCs w:val="22"/>
        </w:rPr>
        <w:t>).</w:t>
      </w:r>
    </w:p>
    <w:p w14:paraId="036DE175" w14:textId="77777777" w:rsidR="00D766F0" w:rsidRPr="0060618B" w:rsidRDefault="00D766F0" w:rsidP="0060618B">
      <w:pPr>
        <w:autoSpaceDE w:val="0"/>
        <w:autoSpaceDN w:val="0"/>
        <w:adjustRightInd w:val="0"/>
        <w:spacing w:after="0" w:line="276" w:lineRule="auto"/>
        <w:jc w:val="both"/>
        <w:rPr>
          <w:rFonts w:ascii="Times New Roman" w:hAnsi="Times New Roman" w:cs="Times New Roman"/>
          <w:b/>
        </w:rPr>
      </w:pPr>
    </w:p>
    <w:p w14:paraId="450B8873" w14:textId="77777777" w:rsidR="00BE5263" w:rsidRPr="0060618B" w:rsidRDefault="00BE5263" w:rsidP="0060618B">
      <w:pPr>
        <w:autoSpaceDE w:val="0"/>
        <w:autoSpaceDN w:val="0"/>
        <w:adjustRightInd w:val="0"/>
        <w:spacing w:after="0" w:line="276" w:lineRule="auto"/>
        <w:jc w:val="both"/>
        <w:rPr>
          <w:rFonts w:ascii="Times New Roman" w:hAnsi="Times New Roman" w:cs="Times New Roman"/>
          <w:b/>
        </w:rPr>
      </w:pPr>
    </w:p>
    <w:p w14:paraId="667E8A94" w14:textId="77777777" w:rsidR="00BE5263" w:rsidRPr="0060618B" w:rsidRDefault="00BE5263" w:rsidP="0060618B">
      <w:pPr>
        <w:autoSpaceDE w:val="0"/>
        <w:autoSpaceDN w:val="0"/>
        <w:adjustRightInd w:val="0"/>
        <w:spacing w:after="0" w:line="276" w:lineRule="auto"/>
        <w:jc w:val="both"/>
        <w:rPr>
          <w:rFonts w:ascii="Times New Roman" w:hAnsi="Times New Roman" w:cs="Times New Roman"/>
          <w:b/>
        </w:rPr>
      </w:pPr>
    </w:p>
    <w:p w14:paraId="1F9731B3" w14:textId="77777777" w:rsidR="00BE5263" w:rsidRPr="0060618B" w:rsidRDefault="00BE5263" w:rsidP="0060618B">
      <w:pPr>
        <w:autoSpaceDE w:val="0"/>
        <w:autoSpaceDN w:val="0"/>
        <w:adjustRightInd w:val="0"/>
        <w:spacing w:after="0" w:line="276" w:lineRule="auto"/>
        <w:jc w:val="both"/>
        <w:rPr>
          <w:rFonts w:ascii="Times New Roman" w:hAnsi="Times New Roman" w:cs="Times New Roman"/>
          <w:b/>
        </w:rPr>
      </w:pPr>
    </w:p>
    <w:p w14:paraId="065A6304" w14:textId="77777777" w:rsidR="00BE5263" w:rsidRPr="0060618B" w:rsidRDefault="00BE5263" w:rsidP="0060618B">
      <w:pPr>
        <w:autoSpaceDE w:val="0"/>
        <w:autoSpaceDN w:val="0"/>
        <w:adjustRightInd w:val="0"/>
        <w:spacing w:after="0" w:line="276" w:lineRule="auto"/>
        <w:jc w:val="both"/>
        <w:rPr>
          <w:rFonts w:ascii="Times New Roman" w:hAnsi="Times New Roman" w:cs="Times New Roman"/>
          <w:b/>
        </w:rPr>
      </w:pPr>
    </w:p>
    <w:p w14:paraId="6E8CE1CA" w14:textId="4CF21CA4" w:rsidR="006261BF" w:rsidRPr="0060618B" w:rsidRDefault="00786E87" w:rsidP="0060618B">
      <w:pPr>
        <w:autoSpaceDE w:val="0"/>
        <w:autoSpaceDN w:val="0"/>
        <w:adjustRightInd w:val="0"/>
        <w:spacing w:after="0" w:line="276" w:lineRule="auto"/>
        <w:jc w:val="both"/>
        <w:rPr>
          <w:rFonts w:ascii="Times New Roman" w:hAnsi="Times New Roman" w:cs="Times New Roman"/>
          <w:b/>
        </w:rPr>
      </w:pPr>
      <w:r w:rsidRPr="0060618B">
        <w:rPr>
          <w:rFonts w:ascii="Times New Roman" w:hAnsi="Times New Roman" w:cs="Times New Roman"/>
          <w:b/>
        </w:rPr>
        <w:t>Table</w:t>
      </w:r>
      <w:r>
        <w:rPr>
          <w:rFonts w:ascii="Times New Roman" w:hAnsi="Times New Roman" w:cs="Times New Roman"/>
          <w:b/>
        </w:rPr>
        <w:t xml:space="preserve"> 1</w:t>
      </w:r>
      <w:r w:rsidR="006261BF" w:rsidRPr="0060618B">
        <w:rPr>
          <w:rFonts w:ascii="Times New Roman" w:hAnsi="Times New Roman" w:cs="Times New Roman"/>
          <w:b/>
        </w:rPr>
        <w:t>:</w:t>
      </w:r>
      <w:r w:rsidR="006261BF" w:rsidRPr="0060618B">
        <w:rPr>
          <w:rFonts w:ascii="Times New Roman" w:hAnsi="Times New Roman" w:cs="Times New Roman"/>
          <w:b/>
          <w:shd w:val="clear" w:color="auto" w:fill="FFFFFF"/>
        </w:rPr>
        <w:t xml:space="preserve"> </w:t>
      </w:r>
      <w:r>
        <w:rPr>
          <w:rStyle w:val="Strong"/>
          <w:rFonts w:ascii="Times New Roman" w:hAnsi="Times New Roman" w:cs="Times New Roman"/>
        </w:rPr>
        <w:t>C</w:t>
      </w:r>
      <w:r w:rsidRPr="0060618B">
        <w:rPr>
          <w:rStyle w:val="Strong"/>
          <w:rFonts w:ascii="Times New Roman" w:hAnsi="Times New Roman" w:cs="Times New Roman"/>
        </w:rPr>
        <w:t>omparison of antioxidant, inflammatory, and glycemic parameters across groups</w:t>
      </w:r>
    </w:p>
    <w:tbl>
      <w:tblPr>
        <w:tblW w:w="990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2233"/>
        <w:gridCol w:w="2364"/>
        <w:gridCol w:w="2011"/>
        <w:gridCol w:w="1107"/>
      </w:tblGrid>
      <w:tr w:rsidR="00286A60" w:rsidRPr="0060618B" w14:paraId="787A4003" w14:textId="77777777" w:rsidTr="009F36E7">
        <w:trPr>
          <w:cantSplit/>
          <w:trHeight w:val="512"/>
        </w:trPr>
        <w:tc>
          <w:tcPr>
            <w:tcW w:w="2192" w:type="dxa"/>
            <w:tcBorders>
              <w:top w:val="single" w:sz="4" w:space="0" w:color="auto"/>
              <w:left w:val="single" w:sz="4" w:space="0" w:color="auto"/>
              <w:bottom w:val="single" w:sz="4" w:space="0" w:color="auto"/>
              <w:right w:val="single" w:sz="4" w:space="0" w:color="auto"/>
            </w:tcBorders>
            <w:noWrap/>
            <w:vAlign w:val="center"/>
            <w:hideMark/>
          </w:tcPr>
          <w:p w14:paraId="2DBEEA3C" w14:textId="77777777" w:rsidR="006261BF" w:rsidRPr="0060618B" w:rsidRDefault="006261BF" w:rsidP="0060618B">
            <w:pPr>
              <w:spacing w:after="0" w:line="276" w:lineRule="auto"/>
              <w:jc w:val="both"/>
              <w:rPr>
                <w:rFonts w:ascii="Times New Roman" w:eastAsia="Times New Roman" w:hAnsi="Times New Roman" w:cs="Times New Roman"/>
                <w:b/>
              </w:rPr>
            </w:pPr>
            <w:r w:rsidRPr="0060618B">
              <w:rPr>
                <w:rFonts w:ascii="Times New Roman" w:eastAsia="Times New Roman" w:hAnsi="Times New Roman" w:cs="Times New Roman"/>
                <w:b/>
              </w:rPr>
              <w:t>Parameters</w:t>
            </w:r>
          </w:p>
        </w:tc>
        <w:tc>
          <w:tcPr>
            <w:tcW w:w="2233" w:type="dxa"/>
            <w:tcBorders>
              <w:top w:val="single" w:sz="4" w:space="0" w:color="auto"/>
              <w:left w:val="single" w:sz="4" w:space="0" w:color="auto"/>
              <w:bottom w:val="single" w:sz="4" w:space="0" w:color="auto"/>
              <w:right w:val="single" w:sz="4" w:space="0" w:color="auto"/>
            </w:tcBorders>
            <w:noWrap/>
            <w:vAlign w:val="center"/>
            <w:hideMark/>
          </w:tcPr>
          <w:p w14:paraId="102CD059" w14:textId="77777777" w:rsidR="006261BF" w:rsidRPr="0060618B" w:rsidRDefault="006261BF" w:rsidP="0060618B">
            <w:pPr>
              <w:autoSpaceDE w:val="0"/>
              <w:autoSpaceDN w:val="0"/>
              <w:adjustRightInd w:val="0"/>
              <w:spacing w:after="0" w:line="276" w:lineRule="auto"/>
              <w:ind w:left="60" w:right="60"/>
              <w:jc w:val="both"/>
              <w:rPr>
                <w:rFonts w:ascii="Times New Roman" w:hAnsi="Times New Roman" w:cs="Times New Roman"/>
                <w:b/>
              </w:rPr>
            </w:pPr>
            <w:r w:rsidRPr="0060618B">
              <w:rPr>
                <w:rFonts w:ascii="Times New Roman" w:hAnsi="Times New Roman" w:cs="Times New Roman"/>
                <w:b/>
                <w:shd w:val="clear" w:color="auto" w:fill="FFFFFF"/>
              </w:rPr>
              <w:t>Healthy group  n-46</w:t>
            </w:r>
          </w:p>
        </w:tc>
        <w:tc>
          <w:tcPr>
            <w:tcW w:w="2364" w:type="dxa"/>
            <w:tcBorders>
              <w:top w:val="single" w:sz="4" w:space="0" w:color="auto"/>
              <w:left w:val="single" w:sz="4" w:space="0" w:color="auto"/>
              <w:bottom w:val="single" w:sz="4" w:space="0" w:color="auto"/>
              <w:right w:val="single" w:sz="4" w:space="0" w:color="auto"/>
            </w:tcBorders>
            <w:noWrap/>
            <w:vAlign w:val="center"/>
            <w:hideMark/>
          </w:tcPr>
          <w:p w14:paraId="2241A3ED" w14:textId="03542FD1" w:rsidR="006261BF" w:rsidRPr="0060618B" w:rsidRDefault="00B229D0" w:rsidP="0060618B">
            <w:pPr>
              <w:autoSpaceDE w:val="0"/>
              <w:autoSpaceDN w:val="0"/>
              <w:adjustRightInd w:val="0"/>
              <w:spacing w:after="0" w:line="276" w:lineRule="auto"/>
              <w:ind w:left="60" w:right="60"/>
              <w:jc w:val="both"/>
              <w:rPr>
                <w:rFonts w:ascii="Times New Roman" w:hAnsi="Times New Roman" w:cs="Times New Roman"/>
                <w:b/>
              </w:rPr>
            </w:pPr>
            <w:r w:rsidRPr="0060618B">
              <w:rPr>
                <w:rFonts w:ascii="Times New Roman" w:hAnsi="Times New Roman" w:cs="Times New Roman"/>
              </w:rPr>
              <w:t>T2DM</w:t>
            </w:r>
            <w:r w:rsidR="006261BF" w:rsidRPr="0060618B">
              <w:rPr>
                <w:rFonts w:ascii="Times New Roman" w:hAnsi="Times New Roman" w:cs="Times New Roman"/>
                <w:b/>
                <w:shd w:val="clear" w:color="auto" w:fill="FFFFFF"/>
              </w:rPr>
              <w:t xml:space="preserve"> group n-46</w:t>
            </w:r>
          </w:p>
        </w:tc>
        <w:tc>
          <w:tcPr>
            <w:tcW w:w="2011" w:type="dxa"/>
            <w:tcBorders>
              <w:top w:val="single" w:sz="4" w:space="0" w:color="auto"/>
              <w:left w:val="single" w:sz="4" w:space="0" w:color="auto"/>
              <w:bottom w:val="single" w:sz="4" w:space="0" w:color="auto"/>
              <w:right w:val="single" w:sz="4" w:space="0" w:color="auto"/>
            </w:tcBorders>
            <w:noWrap/>
            <w:vAlign w:val="center"/>
            <w:hideMark/>
          </w:tcPr>
          <w:p w14:paraId="4B3A7A69" w14:textId="46589C03" w:rsidR="006261BF" w:rsidRPr="0060618B" w:rsidRDefault="005A164F" w:rsidP="0060618B">
            <w:pPr>
              <w:autoSpaceDE w:val="0"/>
              <w:autoSpaceDN w:val="0"/>
              <w:adjustRightInd w:val="0"/>
              <w:spacing w:after="0" w:line="276" w:lineRule="auto"/>
              <w:ind w:left="60" w:right="60"/>
              <w:jc w:val="both"/>
              <w:rPr>
                <w:rFonts w:ascii="Times New Roman" w:hAnsi="Times New Roman" w:cs="Times New Roman"/>
                <w:b/>
              </w:rPr>
            </w:pPr>
            <w:r w:rsidRPr="0060618B">
              <w:rPr>
                <w:rFonts w:ascii="Times New Roman" w:hAnsi="Times New Roman" w:cs="Times New Roman"/>
              </w:rPr>
              <w:t>T2DM</w:t>
            </w:r>
            <w:r w:rsidRPr="0060618B">
              <w:rPr>
                <w:rFonts w:ascii="Times New Roman" w:hAnsi="Times New Roman" w:cs="Times New Roman"/>
                <w:b/>
                <w:shd w:val="clear" w:color="auto" w:fill="FFFFFF"/>
              </w:rPr>
              <w:t xml:space="preserve"> with </w:t>
            </w:r>
            <w:r w:rsidR="006261BF" w:rsidRPr="0060618B">
              <w:rPr>
                <w:rFonts w:ascii="Times New Roman" w:hAnsi="Times New Roman" w:cs="Times New Roman"/>
                <w:b/>
                <w:shd w:val="clear" w:color="auto" w:fill="FFFFFF"/>
              </w:rPr>
              <w:t>foot ulcer group n-46</w:t>
            </w:r>
          </w:p>
        </w:tc>
        <w:tc>
          <w:tcPr>
            <w:tcW w:w="1107" w:type="dxa"/>
            <w:tcBorders>
              <w:top w:val="single" w:sz="4" w:space="0" w:color="auto"/>
              <w:left w:val="single" w:sz="4" w:space="0" w:color="auto"/>
              <w:bottom w:val="single" w:sz="4" w:space="0" w:color="auto"/>
              <w:right w:val="single" w:sz="4" w:space="0" w:color="auto"/>
            </w:tcBorders>
            <w:vAlign w:val="center"/>
            <w:hideMark/>
          </w:tcPr>
          <w:p w14:paraId="1D76FAA5" w14:textId="77777777" w:rsidR="006261BF" w:rsidRPr="0060618B" w:rsidRDefault="006261BF" w:rsidP="0060618B">
            <w:pPr>
              <w:spacing w:after="0" w:line="276" w:lineRule="auto"/>
              <w:jc w:val="both"/>
              <w:rPr>
                <w:rFonts w:ascii="Times New Roman" w:eastAsia="Times New Roman" w:hAnsi="Times New Roman" w:cs="Times New Roman"/>
                <w:b/>
              </w:rPr>
            </w:pPr>
            <w:r w:rsidRPr="0060618B">
              <w:rPr>
                <w:rFonts w:ascii="Times New Roman" w:eastAsia="Times New Roman" w:hAnsi="Times New Roman" w:cs="Times New Roman"/>
                <w:b/>
              </w:rPr>
              <w:t>p-value</w:t>
            </w:r>
          </w:p>
        </w:tc>
      </w:tr>
      <w:tr w:rsidR="00286A60" w:rsidRPr="0060618B" w14:paraId="5FC8D9AB" w14:textId="77777777" w:rsidTr="00786E87">
        <w:trPr>
          <w:cantSplit/>
          <w:trHeight w:val="512"/>
        </w:trPr>
        <w:tc>
          <w:tcPr>
            <w:tcW w:w="2192" w:type="dxa"/>
            <w:tcBorders>
              <w:top w:val="single" w:sz="4" w:space="0" w:color="auto"/>
              <w:left w:val="single" w:sz="4" w:space="0" w:color="auto"/>
              <w:bottom w:val="single" w:sz="4" w:space="0" w:color="auto"/>
              <w:right w:val="single" w:sz="4" w:space="0" w:color="auto"/>
            </w:tcBorders>
            <w:noWrap/>
            <w:vAlign w:val="center"/>
            <w:hideMark/>
          </w:tcPr>
          <w:p w14:paraId="04F6BC83" w14:textId="77777777" w:rsidR="006261BF" w:rsidRPr="0060618B" w:rsidRDefault="00510DC0"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 xml:space="preserve">FBS </w:t>
            </w:r>
            <w:r w:rsidR="006261BF" w:rsidRPr="0060618B">
              <w:rPr>
                <w:rFonts w:ascii="Times New Roman" w:eastAsia="Times New Roman" w:hAnsi="Times New Roman" w:cs="Times New Roman"/>
              </w:rPr>
              <w:t>(70-99mg/dl)</w:t>
            </w:r>
          </w:p>
        </w:tc>
        <w:tc>
          <w:tcPr>
            <w:tcW w:w="2233" w:type="dxa"/>
            <w:tcBorders>
              <w:top w:val="single" w:sz="4" w:space="0" w:color="auto"/>
              <w:left w:val="single" w:sz="4" w:space="0" w:color="auto"/>
              <w:bottom w:val="single" w:sz="4" w:space="0" w:color="auto"/>
              <w:right w:val="single" w:sz="4" w:space="0" w:color="auto"/>
            </w:tcBorders>
            <w:noWrap/>
            <w:vAlign w:val="center"/>
            <w:hideMark/>
          </w:tcPr>
          <w:p w14:paraId="08AAA62A"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86(80-91)</w:t>
            </w:r>
          </w:p>
        </w:tc>
        <w:tc>
          <w:tcPr>
            <w:tcW w:w="2364" w:type="dxa"/>
            <w:tcBorders>
              <w:top w:val="single" w:sz="4" w:space="0" w:color="auto"/>
              <w:left w:val="single" w:sz="4" w:space="0" w:color="auto"/>
              <w:bottom w:val="single" w:sz="4" w:space="0" w:color="auto"/>
              <w:right w:val="single" w:sz="4" w:space="0" w:color="auto"/>
            </w:tcBorders>
            <w:noWrap/>
            <w:vAlign w:val="center"/>
            <w:hideMark/>
          </w:tcPr>
          <w:p w14:paraId="15B5520E"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149.5 (119-200)</w:t>
            </w:r>
          </w:p>
        </w:tc>
        <w:tc>
          <w:tcPr>
            <w:tcW w:w="2011" w:type="dxa"/>
            <w:tcBorders>
              <w:top w:val="single" w:sz="4" w:space="0" w:color="auto"/>
              <w:left w:val="single" w:sz="4" w:space="0" w:color="auto"/>
              <w:bottom w:val="single" w:sz="4" w:space="0" w:color="auto"/>
              <w:right w:val="single" w:sz="4" w:space="0" w:color="auto"/>
            </w:tcBorders>
            <w:noWrap/>
            <w:vAlign w:val="center"/>
            <w:hideMark/>
          </w:tcPr>
          <w:p w14:paraId="6819B0C9"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118 (92-184)</w:t>
            </w:r>
          </w:p>
        </w:tc>
        <w:tc>
          <w:tcPr>
            <w:tcW w:w="1107" w:type="dxa"/>
            <w:tcBorders>
              <w:top w:val="single" w:sz="4" w:space="0" w:color="auto"/>
              <w:left w:val="single" w:sz="4" w:space="0" w:color="auto"/>
              <w:bottom w:val="single" w:sz="4" w:space="0" w:color="auto"/>
              <w:right w:val="single" w:sz="4" w:space="0" w:color="auto"/>
            </w:tcBorders>
            <w:vAlign w:val="center"/>
            <w:hideMark/>
          </w:tcPr>
          <w:p w14:paraId="3C9FF6B9"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&lt;0.01*</w:t>
            </w:r>
          </w:p>
        </w:tc>
      </w:tr>
      <w:tr w:rsidR="00286A60" w:rsidRPr="0060618B" w14:paraId="143E223B" w14:textId="77777777" w:rsidTr="00786E87">
        <w:trPr>
          <w:cantSplit/>
          <w:trHeight w:val="316"/>
        </w:trPr>
        <w:tc>
          <w:tcPr>
            <w:tcW w:w="2192" w:type="dxa"/>
            <w:tcBorders>
              <w:top w:val="single" w:sz="4" w:space="0" w:color="auto"/>
              <w:left w:val="single" w:sz="4" w:space="0" w:color="auto"/>
              <w:bottom w:val="single" w:sz="4" w:space="0" w:color="auto"/>
              <w:right w:val="single" w:sz="4" w:space="0" w:color="auto"/>
            </w:tcBorders>
            <w:noWrap/>
            <w:vAlign w:val="center"/>
            <w:hideMark/>
          </w:tcPr>
          <w:p w14:paraId="37535362"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HbA1c (&lt;5.7%)</w:t>
            </w:r>
          </w:p>
        </w:tc>
        <w:tc>
          <w:tcPr>
            <w:tcW w:w="2233" w:type="dxa"/>
            <w:tcBorders>
              <w:top w:val="single" w:sz="4" w:space="0" w:color="auto"/>
              <w:left w:val="single" w:sz="4" w:space="0" w:color="auto"/>
              <w:bottom w:val="single" w:sz="4" w:space="0" w:color="auto"/>
              <w:right w:val="single" w:sz="4" w:space="0" w:color="auto"/>
            </w:tcBorders>
            <w:noWrap/>
            <w:vAlign w:val="center"/>
            <w:hideMark/>
          </w:tcPr>
          <w:p w14:paraId="12B29D69"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5.4(5.2-5.6)</w:t>
            </w:r>
          </w:p>
        </w:tc>
        <w:tc>
          <w:tcPr>
            <w:tcW w:w="2364" w:type="dxa"/>
            <w:tcBorders>
              <w:top w:val="single" w:sz="4" w:space="0" w:color="auto"/>
              <w:left w:val="single" w:sz="4" w:space="0" w:color="auto"/>
              <w:bottom w:val="single" w:sz="4" w:space="0" w:color="auto"/>
              <w:right w:val="single" w:sz="4" w:space="0" w:color="auto"/>
            </w:tcBorders>
            <w:noWrap/>
            <w:vAlign w:val="center"/>
            <w:hideMark/>
          </w:tcPr>
          <w:p w14:paraId="694D9192"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8.45 (7.2-10.1)</w:t>
            </w:r>
          </w:p>
        </w:tc>
        <w:tc>
          <w:tcPr>
            <w:tcW w:w="2011" w:type="dxa"/>
            <w:tcBorders>
              <w:top w:val="single" w:sz="4" w:space="0" w:color="auto"/>
              <w:left w:val="single" w:sz="4" w:space="0" w:color="auto"/>
              <w:bottom w:val="single" w:sz="4" w:space="0" w:color="auto"/>
              <w:right w:val="single" w:sz="4" w:space="0" w:color="auto"/>
            </w:tcBorders>
            <w:noWrap/>
            <w:vAlign w:val="center"/>
            <w:hideMark/>
          </w:tcPr>
          <w:p w14:paraId="5FD6725E"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9.8 (7.6-10.9)</w:t>
            </w:r>
          </w:p>
        </w:tc>
        <w:tc>
          <w:tcPr>
            <w:tcW w:w="1107" w:type="dxa"/>
            <w:tcBorders>
              <w:top w:val="single" w:sz="4" w:space="0" w:color="auto"/>
              <w:left w:val="single" w:sz="4" w:space="0" w:color="auto"/>
              <w:bottom w:val="single" w:sz="4" w:space="0" w:color="auto"/>
              <w:right w:val="single" w:sz="4" w:space="0" w:color="auto"/>
            </w:tcBorders>
            <w:vAlign w:val="center"/>
            <w:hideMark/>
          </w:tcPr>
          <w:p w14:paraId="40EE624E"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&lt;0.01**</w:t>
            </w:r>
          </w:p>
        </w:tc>
      </w:tr>
      <w:tr w:rsidR="00286A60" w:rsidRPr="0060618B" w14:paraId="4A8E9CA0" w14:textId="77777777" w:rsidTr="00786E87">
        <w:trPr>
          <w:cantSplit/>
          <w:trHeight w:val="316"/>
        </w:trPr>
        <w:tc>
          <w:tcPr>
            <w:tcW w:w="2192" w:type="dxa"/>
            <w:tcBorders>
              <w:top w:val="single" w:sz="4" w:space="0" w:color="auto"/>
              <w:left w:val="single" w:sz="4" w:space="0" w:color="auto"/>
              <w:bottom w:val="single" w:sz="4" w:space="0" w:color="auto"/>
              <w:right w:val="single" w:sz="4" w:space="0" w:color="auto"/>
            </w:tcBorders>
            <w:noWrap/>
            <w:vAlign w:val="center"/>
          </w:tcPr>
          <w:p w14:paraId="2EB3E762"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C-Reactive Protein(&lt;10mg/L)</w:t>
            </w:r>
          </w:p>
        </w:tc>
        <w:tc>
          <w:tcPr>
            <w:tcW w:w="2233" w:type="dxa"/>
            <w:tcBorders>
              <w:top w:val="single" w:sz="4" w:space="0" w:color="auto"/>
              <w:left w:val="single" w:sz="4" w:space="0" w:color="auto"/>
              <w:bottom w:val="single" w:sz="4" w:space="0" w:color="auto"/>
              <w:right w:val="single" w:sz="4" w:space="0" w:color="auto"/>
            </w:tcBorders>
            <w:noWrap/>
            <w:vAlign w:val="center"/>
          </w:tcPr>
          <w:p w14:paraId="46C06C0C"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5(4-7)</w:t>
            </w:r>
          </w:p>
        </w:tc>
        <w:tc>
          <w:tcPr>
            <w:tcW w:w="2364" w:type="dxa"/>
            <w:tcBorders>
              <w:top w:val="single" w:sz="4" w:space="0" w:color="auto"/>
              <w:left w:val="single" w:sz="4" w:space="0" w:color="auto"/>
              <w:bottom w:val="single" w:sz="4" w:space="0" w:color="auto"/>
              <w:right w:val="single" w:sz="4" w:space="0" w:color="auto"/>
            </w:tcBorders>
            <w:noWrap/>
            <w:vAlign w:val="center"/>
          </w:tcPr>
          <w:p w14:paraId="5EFDF335"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5(4-10)</w:t>
            </w:r>
          </w:p>
        </w:tc>
        <w:tc>
          <w:tcPr>
            <w:tcW w:w="2011" w:type="dxa"/>
            <w:tcBorders>
              <w:top w:val="single" w:sz="4" w:space="0" w:color="auto"/>
              <w:left w:val="single" w:sz="4" w:space="0" w:color="auto"/>
              <w:bottom w:val="single" w:sz="4" w:space="0" w:color="auto"/>
              <w:right w:val="single" w:sz="4" w:space="0" w:color="auto"/>
            </w:tcBorders>
            <w:noWrap/>
            <w:vAlign w:val="center"/>
          </w:tcPr>
          <w:p w14:paraId="4F6812D7"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35(10-89)</w:t>
            </w:r>
          </w:p>
        </w:tc>
        <w:tc>
          <w:tcPr>
            <w:tcW w:w="1107" w:type="dxa"/>
            <w:tcBorders>
              <w:top w:val="single" w:sz="4" w:space="0" w:color="auto"/>
              <w:left w:val="single" w:sz="4" w:space="0" w:color="auto"/>
              <w:bottom w:val="single" w:sz="4" w:space="0" w:color="auto"/>
              <w:right w:val="single" w:sz="4" w:space="0" w:color="auto"/>
            </w:tcBorders>
            <w:vAlign w:val="center"/>
          </w:tcPr>
          <w:p w14:paraId="66A7B318"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&lt;0.01*</w:t>
            </w:r>
          </w:p>
        </w:tc>
      </w:tr>
      <w:tr w:rsidR="00286A60" w:rsidRPr="0060618B" w14:paraId="771365FD" w14:textId="77777777" w:rsidTr="00786E87">
        <w:trPr>
          <w:cantSplit/>
          <w:trHeight w:val="316"/>
        </w:trPr>
        <w:tc>
          <w:tcPr>
            <w:tcW w:w="2192" w:type="dxa"/>
            <w:tcBorders>
              <w:top w:val="single" w:sz="4" w:space="0" w:color="auto"/>
              <w:left w:val="single" w:sz="4" w:space="0" w:color="auto"/>
              <w:bottom w:val="single" w:sz="4" w:space="0" w:color="auto"/>
              <w:right w:val="single" w:sz="4" w:space="0" w:color="auto"/>
            </w:tcBorders>
            <w:noWrap/>
            <w:vAlign w:val="center"/>
          </w:tcPr>
          <w:p w14:paraId="5C1B7818"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Superoxide Dismutase(2-5U/ml)</w:t>
            </w:r>
          </w:p>
        </w:tc>
        <w:tc>
          <w:tcPr>
            <w:tcW w:w="2233" w:type="dxa"/>
            <w:tcBorders>
              <w:top w:val="single" w:sz="4" w:space="0" w:color="auto"/>
              <w:left w:val="single" w:sz="4" w:space="0" w:color="auto"/>
              <w:bottom w:val="single" w:sz="4" w:space="0" w:color="auto"/>
              <w:right w:val="single" w:sz="4" w:space="0" w:color="auto"/>
            </w:tcBorders>
            <w:noWrap/>
            <w:vAlign w:val="center"/>
          </w:tcPr>
          <w:p w14:paraId="24DB25FC"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167.75</w:t>
            </w:r>
          </w:p>
          <w:p w14:paraId="064CF24B"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(156.2-185.36)</w:t>
            </w:r>
          </w:p>
        </w:tc>
        <w:tc>
          <w:tcPr>
            <w:tcW w:w="2364" w:type="dxa"/>
            <w:tcBorders>
              <w:top w:val="single" w:sz="4" w:space="0" w:color="auto"/>
              <w:left w:val="single" w:sz="4" w:space="0" w:color="auto"/>
              <w:bottom w:val="single" w:sz="4" w:space="0" w:color="auto"/>
              <w:right w:val="single" w:sz="4" w:space="0" w:color="auto"/>
            </w:tcBorders>
            <w:noWrap/>
            <w:vAlign w:val="center"/>
          </w:tcPr>
          <w:p w14:paraId="50F7CE22"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106.2</w:t>
            </w:r>
          </w:p>
          <w:p w14:paraId="4DABD29B"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(94.75-122.71)</w:t>
            </w:r>
          </w:p>
        </w:tc>
        <w:tc>
          <w:tcPr>
            <w:tcW w:w="2011" w:type="dxa"/>
            <w:tcBorders>
              <w:top w:val="single" w:sz="4" w:space="0" w:color="auto"/>
              <w:left w:val="single" w:sz="4" w:space="0" w:color="auto"/>
              <w:bottom w:val="single" w:sz="4" w:space="0" w:color="auto"/>
              <w:right w:val="single" w:sz="4" w:space="0" w:color="auto"/>
            </w:tcBorders>
            <w:noWrap/>
            <w:vAlign w:val="center"/>
          </w:tcPr>
          <w:p w14:paraId="53BB5F7F"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67.07</w:t>
            </w:r>
          </w:p>
          <w:p w14:paraId="564B6726"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(48.05-80.7)</w:t>
            </w:r>
          </w:p>
        </w:tc>
        <w:tc>
          <w:tcPr>
            <w:tcW w:w="1107" w:type="dxa"/>
            <w:tcBorders>
              <w:top w:val="single" w:sz="4" w:space="0" w:color="auto"/>
              <w:left w:val="single" w:sz="4" w:space="0" w:color="auto"/>
              <w:bottom w:val="single" w:sz="4" w:space="0" w:color="auto"/>
              <w:right w:val="single" w:sz="4" w:space="0" w:color="auto"/>
            </w:tcBorders>
            <w:vAlign w:val="center"/>
          </w:tcPr>
          <w:p w14:paraId="25C0F8BE"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&lt;0.01**</w:t>
            </w:r>
          </w:p>
        </w:tc>
      </w:tr>
      <w:tr w:rsidR="00286A60" w:rsidRPr="0060618B" w14:paraId="7ABBF506" w14:textId="77777777" w:rsidTr="00786E87">
        <w:trPr>
          <w:cantSplit/>
          <w:trHeight w:val="316"/>
        </w:trPr>
        <w:tc>
          <w:tcPr>
            <w:tcW w:w="2192" w:type="dxa"/>
            <w:tcBorders>
              <w:top w:val="single" w:sz="4" w:space="0" w:color="auto"/>
              <w:left w:val="single" w:sz="4" w:space="0" w:color="auto"/>
              <w:bottom w:val="single" w:sz="4" w:space="0" w:color="auto"/>
              <w:right w:val="single" w:sz="4" w:space="0" w:color="auto"/>
            </w:tcBorders>
            <w:noWrap/>
            <w:vAlign w:val="center"/>
          </w:tcPr>
          <w:p w14:paraId="3E3C9A5D"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White blood cells (4000-11000 cells/uL)</w:t>
            </w:r>
          </w:p>
        </w:tc>
        <w:tc>
          <w:tcPr>
            <w:tcW w:w="2233" w:type="dxa"/>
            <w:tcBorders>
              <w:top w:val="single" w:sz="4" w:space="0" w:color="auto"/>
              <w:left w:val="single" w:sz="4" w:space="0" w:color="auto"/>
              <w:bottom w:val="single" w:sz="4" w:space="0" w:color="auto"/>
              <w:right w:val="single" w:sz="4" w:space="0" w:color="auto"/>
            </w:tcBorders>
            <w:noWrap/>
            <w:vAlign w:val="center"/>
          </w:tcPr>
          <w:p w14:paraId="35FABA93"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6.4(5.6-7.3)</w:t>
            </w:r>
          </w:p>
        </w:tc>
        <w:tc>
          <w:tcPr>
            <w:tcW w:w="2364" w:type="dxa"/>
            <w:tcBorders>
              <w:top w:val="single" w:sz="4" w:space="0" w:color="auto"/>
              <w:left w:val="single" w:sz="4" w:space="0" w:color="auto"/>
              <w:bottom w:val="single" w:sz="4" w:space="0" w:color="auto"/>
              <w:right w:val="single" w:sz="4" w:space="0" w:color="auto"/>
            </w:tcBorders>
            <w:noWrap/>
            <w:vAlign w:val="center"/>
          </w:tcPr>
          <w:p w14:paraId="6ED47C9B"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6.95(6-8)</w:t>
            </w:r>
          </w:p>
        </w:tc>
        <w:tc>
          <w:tcPr>
            <w:tcW w:w="2011" w:type="dxa"/>
            <w:tcBorders>
              <w:top w:val="single" w:sz="4" w:space="0" w:color="auto"/>
              <w:left w:val="single" w:sz="4" w:space="0" w:color="auto"/>
              <w:bottom w:val="single" w:sz="4" w:space="0" w:color="auto"/>
              <w:right w:val="single" w:sz="4" w:space="0" w:color="auto"/>
            </w:tcBorders>
            <w:noWrap/>
            <w:vAlign w:val="center"/>
          </w:tcPr>
          <w:p w14:paraId="68BD3307"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9.3(7.4-13)</w:t>
            </w:r>
          </w:p>
        </w:tc>
        <w:tc>
          <w:tcPr>
            <w:tcW w:w="1107" w:type="dxa"/>
            <w:tcBorders>
              <w:top w:val="single" w:sz="4" w:space="0" w:color="auto"/>
              <w:left w:val="single" w:sz="4" w:space="0" w:color="auto"/>
              <w:bottom w:val="single" w:sz="4" w:space="0" w:color="auto"/>
              <w:right w:val="single" w:sz="4" w:space="0" w:color="auto"/>
            </w:tcBorders>
            <w:vAlign w:val="center"/>
          </w:tcPr>
          <w:p w14:paraId="3D5B82F6"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&lt;0.01*</w:t>
            </w:r>
          </w:p>
        </w:tc>
      </w:tr>
      <w:tr w:rsidR="00286A60" w:rsidRPr="0060618B" w14:paraId="7474DCBE" w14:textId="77777777" w:rsidTr="00786E87">
        <w:trPr>
          <w:cantSplit/>
          <w:trHeight w:val="316"/>
        </w:trPr>
        <w:tc>
          <w:tcPr>
            <w:tcW w:w="2192" w:type="dxa"/>
            <w:tcBorders>
              <w:top w:val="single" w:sz="4" w:space="0" w:color="auto"/>
              <w:left w:val="single" w:sz="4" w:space="0" w:color="auto"/>
              <w:bottom w:val="single" w:sz="4" w:space="0" w:color="auto"/>
              <w:right w:val="single" w:sz="4" w:space="0" w:color="auto"/>
            </w:tcBorders>
            <w:noWrap/>
            <w:vAlign w:val="center"/>
          </w:tcPr>
          <w:p w14:paraId="17B3E955"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N% Count (40-70%)</w:t>
            </w:r>
          </w:p>
        </w:tc>
        <w:tc>
          <w:tcPr>
            <w:tcW w:w="2233" w:type="dxa"/>
            <w:tcBorders>
              <w:top w:val="single" w:sz="4" w:space="0" w:color="auto"/>
              <w:left w:val="single" w:sz="4" w:space="0" w:color="auto"/>
              <w:bottom w:val="single" w:sz="4" w:space="0" w:color="auto"/>
              <w:right w:val="single" w:sz="4" w:space="0" w:color="auto"/>
            </w:tcBorders>
            <w:noWrap/>
            <w:vAlign w:val="center"/>
          </w:tcPr>
          <w:p w14:paraId="6C0B28FC"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67(60-71)</w:t>
            </w:r>
          </w:p>
        </w:tc>
        <w:tc>
          <w:tcPr>
            <w:tcW w:w="2364" w:type="dxa"/>
            <w:tcBorders>
              <w:top w:val="single" w:sz="4" w:space="0" w:color="auto"/>
              <w:left w:val="single" w:sz="4" w:space="0" w:color="auto"/>
              <w:bottom w:val="single" w:sz="4" w:space="0" w:color="auto"/>
              <w:right w:val="single" w:sz="4" w:space="0" w:color="auto"/>
            </w:tcBorders>
            <w:noWrap/>
            <w:vAlign w:val="center"/>
          </w:tcPr>
          <w:p w14:paraId="033033DA"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66.5(60-70)</w:t>
            </w:r>
          </w:p>
        </w:tc>
        <w:tc>
          <w:tcPr>
            <w:tcW w:w="2011" w:type="dxa"/>
            <w:tcBorders>
              <w:top w:val="single" w:sz="4" w:space="0" w:color="auto"/>
              <w:left w:val="single" w:sz="4" w:space="0" w:color="auto"/>
              <w:bottom w:val="single" w:sz="4" w:space="0" w:color="auto"/>
              <w:right w:val="single" w:sz="4" w:space="0" w:color="auto"/>
            </w:tcBorders>
            <w:noWrap/>
            <w:vAlign w:val="center"/>
          </w:tcPr>
          <w:p w14:paraId="6B41DFAD"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72(67-81)</w:t>
            </w:r>
          </w:p>
        </w:tc>
        <w:tc>
          <w:tcPr>
            <w:tcW w:w="1107" w:type="dxa"/>
            <w:tcBorders>
              <w:top w:val="single" w:sz="4" w:space="0" w:color="auto"/>
              <w:left w:val="single" w:sz="4" w:space="0" w:color="auto"/>
              <w:bottom w:val="single" w:sz="4" w:space="0" w:color="auto"/>
              <w:right w:val="single" w:sz="4" w:space="0" w:color="auto"/>
            </w:tcBorders>
            <w:vAlign w:val="center"/>
          </w:tcPr>
          <w:p w14:paraId="592ED381"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&lt;0.01*</w:t>
            </w:r>
          </w:p>
        </w:tc>
      </w:tr>
      <w:tr w:rsidR="00286A60" w:rsidRPr="0060618B" w14:paraId="7D8D891F" w14:textId="77777777" w:rsidTr="00786E87">
        <w:trPr>
          <w:cantSplit/>
          <w:trHeight w:val="316"/>
        </w:trPr>
        <w:tc>
          <w:tcPr>
            <w:tcW w:w="2192" w:type="dxa"/>
            <w:tcBorders>
              <w:top w:val="single" w:sz="4" w:space="0" w:color="auto"/>
              <w:left w:val="single" w:sz="4" w:space="0" w:color="auto"/>
              <w:bottom w:val="single" w:sz="4" w:space="0" w:color="auto"/>
              <w:right w:val="single" w:sz="4" w:space="0" w:color="auto"/>
            </w:tcBorders>
            <w:noWrap/>
            <w:vAlign w:val="center"/>
          </w:tcPr>
          <w:p w14:paraId="42455FE8"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L% Count (20-30%)</w:t>
            </w:r>
          </w:p>
        </w:tc>
        <w:tc>
          <w:tcPr>
            <w:tcW w:w="2233" w:type="dxa"/>
            <w:tcBorders>
              <w:top w:val="single" w:sz="4" w:space="0" w:color="auto"/>
              <w:left w:val="single" w:sz="4" w:space="0" w:color="auto"/>
              <w:bottom w:val="single" w:sz="4" w:space="0" w:color="auto"/>
              <w:right w:val="single" w:sz="4" w:space="0" w:color="auto"/>
            </w:tcBorders>
            <w:noWrap/>
            <w:vAlign w:val="center"/>
          </w:tcPr>
          <w:p w14:paraId="7A7D1CEC"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30(25-36)</w:t>
            </w:r>
          </w:p>
        </w:tc>
        <w:tc>
          <w:tcPr>
            <w:tcW w:w="2364" w:type="dxa"/>
            <w:tcBorders>
              <w:top w:val="single" w:sz="4" w:space="0" w:color="auto"/>
              <w:left w:val="single" w:sz="4" w:space="0" w:color="auto"/>
              <w:bottom w:val="single" w:sz="4" w:space="0" w:color="auto"/>
              <w:right w:val="single" w:sz="4" w:space="0" w:color="auto"/>
            </w:tcBorders>
            <w:noWrap/>
            <w:vAlign w:val="center"/>
          </w:tcPr>
          <w:p w14:paraId="2CCB7B2D"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29.5(25-36)</w:t>
            </w:r>
          </w:p>
        </w:tc>
        <w:tc>
          <w:tcPr>
            <w:tcW w:w="2011" w:type="dxa"/>
            <w:tcBorders>
              <w:top w:val="single" w:sz="4" w:space="0" w:color="auto"/>
              <w:left w:val="single" w:sz="4" w:space="0" w:color="auto"/>
              <w:bottom w:val="single" w:sz="4" w:space="0" w:color="auto"/>
              <w:right w:val="single" w:sz="4" w:space="0" w:color="auto"/>
            </w:tcBorders>
            <w:noWrap/>
            <w:vAlign w:val="center"/>
          </w:tcPr>
          <w:p w14:paraId="1541477D"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23(15-29)</w:t>
            </w:r>
          </w:p>
        </w:tc>
        <w:tc>
          <w:tcPr>
            <w:tcW w:w="1107" w:type="dxa"/>
            <w:tcBorders>
              <w:top w:val="single" w:sz="4" w:space="0" w:color="auto"/>
              <w:left w:val="single" w:sz="4" w:space="0" w:color="auto"/>
              <w:bottom w:val="single" w:sz="4" w:space="0" w:color="auto"/>
              <w:right w:val="single" w:sz="4" w:space="0" w:color="auto"/>
            </w:tcBorders>
            <w:vAlign w:val="center"/>
          </w:tcPr>
          <w:p w14:paraId="04604D99"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&lt;0.01*</w:t>
            </w:r>
          </w:p>
        </w:tc>
      </w:tr>
      <w:tr w:rsidR="00286A60" w:rsidRPr="0060618B" w14:paraId="514CA0CD" w14:textId="77777777" w:rsidTr="00786E87">
        <w:trPr>
          <w:cantSplit/>
          <w:trHeight w:val="316"/>
        </w:trPr>
        <w:tc>
          <w:tcPr>
            <w:tcW w:w="2192" w:type="dxa"/>
            <w:tcBorders>
              <w:top w:val="single" w:sz="4" w:space="0" w:color="auto"/>
              <w:left w:val="single" w:sz="4" w:space="0" w:color="auto"/>
              <w:bottom w:val="single" w:sz="4" w:space="0" w:color="auto"/>
              <w:right w:val="single" w:sz="4" w:space="0" w:color="auto"/>
            </w:tcBorders>
            <w:noWrap/>
            <w:vAlign w:val="center"/>
          </w:tcPr>
          <w:p w14:paraId="39D26059" w14:textId="529A1E58" w:rsidR="006261BF" w:rsidRPr="0060618B" w:rsidRDefault="00AA1516" w:rsidP="0060618B">
            <w:pPr>
              <w:spacing w:after="0" w:line="276" w:lineRule="auto"/>
              <w:jc w:val="both"/>
              <w:rPr>
                <w:rFonts w:ascii="Times New Roman" w:eastAsia="Times New Roman" w:hAnsi="Times New Roman" w:cs="Times New Roman"/>
              </w:rPr>
            </w:pPr>
            <w:r w:rsidRPr="0060618B">
              <w:rPr>
                <w:rFonts w:ascii="Times New Roman" w:hAnsi="Times New Roman" w:cs="Times New Roman"/>
              </w:rPr>
              <w:t xml:space="preserve">'Neutrophil-to-Lymphocyte Ratio (NLR) </w:t>
            </w:r>
            <w:r w:rsidR="006261BF" w:rsidRPr="0060618B">
              <w:rPr>
                <w:rFonts w:ascii="Times New Roman" w:hAnsi="Times New Roman" w:cs="Times New Roman"/>
              </w:rPr>
              <w:t>(1.0 – 3.0 ratio)</w:t>
            </w:r>
          </w:p>
        </w:tc>
        <w:tc>
          <w:tcPr>
            <w:tcW w:w="2233" w:type="dxa"/>
            <w:tcBorders>
              <w:top w:val="single" w:sz="4" w:space="0" w:color="auto"/>
              <w:left w:val="single" w:sz="4" w:space="0" w:color="auto"/>
              <w:bottom w:val="single" w:sz="4" w:space="0" w:color="auto"/>
              <w:right w:val="single" w:sz="4" w:space="0" w:color="auto"/>
            </w:tcBorders>
            <w:noWrap/>
            <w:vAlign w:val="center"/>
          </w:tcPr>
          <w:p w14:paraId="56C71A5C"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 xml:space="preserve"> 2.23(1.67-2.84)</w:t>
            </w:r>
          </w:p>
        </w:tc>
        <w:tc>
          <w:tcPr>
            <w:tcW w:w="2364" w:type="dxa"/>
            <w:tcBorders>
              <w:top w:val="single" w:sz="4" w:space="0" w:color="auto"/>
              <w:left w:val="single" w:sz="4" w:space="0" w:color="auto"/>
              <w:bottom w:val="single" w:sz="4" w:space="0" w:color="auto"/>
              <w:right w:val="single" w:sz="4" w:space="0" w:color="auto"/>
            </w:tcBorders>
            <w:noWrap/>
            <w:vAlign w:val="center"/>
          </w:tcPr>
          <w:p w14:paraId="2F4B2812"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 xml:space="preserve">     2.24(1.69-2.8)</w:t>
            </w:r>
          </w:p>
        </w:tc>
        <w:tc>
          <w:tcPr>
            <w:tcW w:w="2011" w:type="dxa"/>
            <w:tcBorders>
              <w:top w:val="single" w:sz="4" w:space="0" w:color="auto"/>
              <w:left w:val="single" w:sz="4" w:space="0" w:color="auto"/>
              <w:bottom w:val="single" w:sz="4" w:space="0" w:color="auto"/>
              <w:right w:val="single" w:sz="4" w:space="0" w:color="auto"/>
            </w:tcBorders>
            <w:noWrap/>
            <w:vAlign w:val="center"/>
          </w:tcPr>
          <w:p w14:paraId="714CFC8C"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 xml:space="preserve">  3.13(2.31-5.33)</w:t>
            </w:r>
          </w:p>
        </w:tc>
        <w:tc>
          <w:tcPr>
            <w:tcW w:w="1107" w:type="dxa"/>
            <w:tcBorders>
              <w:top w:val="single" w:sz="4" w:space="0" w:color="auto"/>
              <w:left w:val="single" w:sz="4" w:space="0" w:color="auto"/>
              <w:bottom w:val="single" w:sz="4" w:space="0" w:color="auto"/>
              <w:right w:val="single" w:sz="4" w:space="0" w:color="auto"/>
            </w:tcBorders>
            <w:vAlign w:val="center"/>
          </w:tcPr>
          <w:p w14:paraId="31818809"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&lt;0.01*</w:t>
            </w:r>
          </w:p>
        </w:tc>
      </w:tr>
      <w:tr w:rsidR="00286A60" w:rsidRPr="0060618B" w14:paraId="3C49718D" w14:textId="77777777" w:rsidTr="009F36E7">
        <w:trPr>
          <w:cantSplit/>
          <w:trHeight w:val="316"/>
        </w:trPr>
        <w:tc>
          <w:tcPr>
            <w:tcW w:w="9907" w:type="dxa"/>
            <w:gridSpan w:val="5"/>
            <w:tcBorders>
              <w:top w:val="single" w:sz="4" w:space="0" w:color="auto"/>
              <w:left w:val="single" w:sz="4" w:space="0" w:color="auto"/>
              <w:bottom w:val="single" w:sz="4" w:space="0" w:color="auto"/>
              <w:right w:val="single" w:sz="4" w:space="0" w:color="auto"/>
            </w:tcBorders>
            <w:noWrap/>
            <w:vAlign w:val="center"/>
            <w:hideMark/>
          </w:tcPr>
          <w:p w14:paraId="03C1C905"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p&lt;0.05 was considered statistically significant</w:t>
            </w:r>
            <w:r w:rsidRPr="0060618B">
              <w:rPr>
                <w:rFonts w:ascii="Times New Roman" w:hAnsi="Times New Roman" w:cs="Times New Roman"/>
                <w:shd w:val="clear" w:color="auto" w:fill="FFFFFF"/>
              </w:rPr>
              <w:t xml:space="preserve"> findings</w:t>
            </w:r>
            <w:r w:rsidRPr="0060618B">
              <w:rPr>
                <w:rFonts w:ascii="Times New Roman" w:hAnsi="Times New Roman" w:cs="Times New Roman"/>
              </w:rPr>
              <w:t>, and **p-value &lt;0.05 suggests statistical significance in post hoc analysis.</w:t>
            </w:r>
          </w:p>
        </w:tc>
      </w:tr>
    </w:tbl>
    <w:p w14:paraId="6895F28E" w14:textId="77777777" w:rsidR="006261BF" w:rsidRPr="0060618B" w:rsidRDefault="006261BF" w:rsidP="0060618B">
      <w:pPr>
        <w:spacing w:after="0" w:line="276" w:lineRule="auto"/>
        <w:jc w:val="both"/>
        <w:rPr>
          <w:rFonts w:ascii="Times New Roman" w:hAnsi="Times New Roman" w:cs="Times New Roman"/>
          <w:b/>
        </w:rPr>
      </w:pPr>
    </w:p>
    <w:p w14:paraId="5B872499" w14:textId="77777777" w:rsidR="00510DC0" w:rsidRPr="0060618B" w:rsidRDefault="00510DC0" w:rsidP="0060618B">
      <w:pPr>
        <w:spacing w:after="0" w:line="276" w:lineRule="auto"/>
        <w:jc w:val="both"/>
        <w:rPr>
          <w:rFonts w:ascii="Times New Roman" w:hAnsi="Times New Roman" w:cs="Times New Roman"/>
          <w:b/>
        </w:rPr>
      </w:pPr>
    </w:p>
    <w:p w14:paraId="6A93FAD0" w14:textId="77777777" w:rsidR="00510DC0" w:rsidRPr="0060618B" w:rsidRDefault="00510DC0" w:rsidP="0060618B">
      <w:pPr>
        <w:spacing w:after="0" w:line="276" w:lineRule="auto"/>
        <w:jc w:val="both"/>
        <w:rPr>
          <w:rFonts w:ascii="Times New Roman" w:hAnsi="Times New Roman" w:cs="Times New Roman"/>
          <w:b/>
        </w:rPr>
      </w:pPr>
    </w:p>
    <w:p w14:paraId="4A09F9B8" w14:textId="77777777" w:rsidR="00510DC0" w:rsidRPr="0060618B" w:rsidRDefault="00510DC0" w:rsidP="0060618B">
      <w:pPr>
        <w:spacing w:after="0" w:line="276" w:lineRule="auto"/>
        <w:jc w:val="both"/>
        <w:rPr>
          <w:rFonts w:ascii="Times New Roman" w:hAnsi="Times New Roman" w:cs="Times New Roman"/>
          <w:b/>
        </w:rPr>
      </w:pPr>
    </w:p>
    <w:p w14:paraId="7BBDE0DB" w14:textId="77777777" w:rsidR="00510DC0" w:rsidRPr="0060618B" w:rsidRDefault="00510DC0" w:rsidP="0060618B">
      <w:pPr>
        <w:spacing w:after="0" w:line="276" w:lineRule="auto"/>
        <w:jc w:val="both"/>
        <w:rPr>
          <w:rFonts w:ascii="Times New Roman" w:hAnsi="Times New Roman" w:cs="Times New Roman"/>
          <w:b/>
        </w:rPr>
      </w:pPr>
    </w:p>
    <w:p w14:paraId="3E6829AB" w14:textId="77777777" w:rsidR="00510DC0" w:rsidRPr="0060618B" w:rsidRDefault="00510DC0" w:rsidP="0060618B">
      <w:pPr>
        <w:spacing w:after="0" w:line="276" w:lineRule="auto"/>
        <w:jc w:val="both"/>
        <w:rPr>
          <w:rFonts w:ascii="Times New Roman" w:hAnsi="Times New Roman" w:cs="Times New Roman"/>
          <w:b/>
        </w:rPr>
      </w:pPr>
    </w:p>
    <w:p w14:paraId="3D13658E" w14:textId="77777777" w:rsidR="00510DC0" w:rsidRPr="0060618B" w:rsidRDefault="00510DC0" w:rsidP="0060618B">
      <w:pPr>
        <w:spacing w:after="0" w:line="276" w:lineRule="auto"/>
        <w:jc w:val="both"/>
        <w:rPr>
          <w:rFonts w:ascii="Times New Roman" w:hAnsi="Times New Roman" w:cs="Times New Roman"/>
          <w:b/>
        </w:rPr>
      </w:pPr>
    </w:p>
    <w:p w14:paraId="2C2BC9A9" w14:textId="77777777" w:rsidR="00510DC0" w:rsidRPr="0060618B" w:rsidRDefault="00510DC0" w:rsidP="0060618B">
      <w:pPr>
        <w:spacing w:after="0" w:line="276" w:lineRule="auto"/>
        <w:jc w:val="both"/>
        <w:rPr>
          <w:rFonts w:ascii="Times New Roman" w:hAnsi="Times New Roman" w:cs="Times New Roman"/>
          <w:b/>
        </w:rPr>
      </w:pPr>
    </w:p>
    <w:p w14:paraId="1DD190AC" w14:textId="08AA4A7B" w:rsidR="006261BF" w:rsidRPr="0060618B" w:rsidRDefault="00BE5263" w:rsidP="0060618B">
      <w:pPr>
        <w:spacing w:after="0" w:line="276" w:lineRule="auto"/>
        <w:jc w:val="both"/>
        <w:rPr>
          <w:rFonts w:ascii="Times New Roman" w:hAnsi="Times New Roman" w:cs="Times New Roman"/>
          <w:b/>
        </w:rPr>
      </w:pPr>
      <w:r w:rsidRPr="0060618B">
        <w:rPr>
          <w:rFonts w:ascii="Times New Roman" w:hAnsi="Times New Roman" w:cs="Times New Roman"/>
          <w:b/>
        </w:rPr>
        <w:t>T</w:t>
      </w:r>
      <w:r w:rsidR="00786E87" w:rsidRPr="0060618B">
        <w:rPr>
          <w:rFonts w:ascii="Times New Roman" w:hAnsi="Times New Roman" w:cs="Times New Roman"/>
          <w:b/>
        </w:rPr>
        <w:t>able</w:t>
      </w:r>
      <w:r w:rsidR="00786E87">
        <w:rPr>
          <w:rFonts w:ascii="Times New Roman" w:hAnsi="Times New Roman" w:cs="Times New Roman"/>
          <w:b/>
        </w:rPr>
        <w:t xml:space="preserve"> 2</w:t>
      </w:r>
      <w:r w:rsidR="006261BF" w:rsidRPr="0060618B">
        <w:rPr>
          <w:rFonts w:ascii="Times New Roman" w:hAnsi="Times New Roman" w:cs="Times New Roman"/>
          <w:b/>
        </w:rPr>
        <w:t xml:space="preserve">: </w:t>
      </w:r>
      <w:r w:rsidR="00786E87" w:rsidRPr="0060618B">
        <w:rPr>
          <w:rFonts w:ascii="Times New Roman" w:hAnsi="Times New Roman" w:cs="Times New Roman"/>
          <w:b/>
        </w:rPr>
        <w:t xml:space="preserve">multiple comparisons of </w:t>
      </w:r>
      <w:r w:rsidR="00786E87" w:rsidRPr="0060618B">
        <w:rPr>
          <w:rFonts w:ascii="Times New Roman" w:hAnsi="Times New Roman" w:cs="Times New Roman"/>
          <w:b/>
          <w:shd w:val="clear" w:color="auto" w:fill="FFFFFF"/>
        </w:rPr>
        <w:t>antioxidant, inflammatory, and glucose status</w:t>
      </w:r>
      <w:r w:rsidR="00786E87" w:rsidRPr="0060618B">
        <w:rPr>
          <w:rFonts w:ascii="Times New Roman" w:hAnsi="Times New Roman" w:cs="Times New Roman"/>
          <w:b/>
        </w:rPr>
        <w:t xml:space="preserve"> between groups of study</w:t>
      </w:r>
    </w:p>
    <w:p w14:paraId="0BA7CCA9" w14:textId="77777777" w:rsidR="006261BF" w:rsidRPr="0060618B" w:rsidRDefault="006261BF" w:rsidP="0060618B">
      <w:pPr>
        <w:spacing w:after="0" w:line="276" w:lineRule="auto"/>
        <w:jc w:val="both"/>
        <w:rPr>
          <w:rFonts w:ascii="Times New Roman" w:hAnsi="Times New Roman" w:cs="Times New Roman"/>
        </w:rPr>
      </w:pPr>
    </w:p>
    <w:tbl>
      <w:tblPr>
        <w:tblW w:w="9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8"/>
        <w:gridCol w:w="1085"/>
        <w:gridCol w:w="29"/>
        <w:gridCol w:w="1141"/>
        <w:gridCol w:w="1352"/>
        <w:gridCol w:w="40"/>
        <w:gridCol w:w="1040"/>
        <w:gridCol w:w="14"/>
        <w:gridCol w:w="1054"/>
        <w:gridCol w:w="12"/>
        <w:gridCol w:w="1044"/>
        <w:gridCol w:w="36"/>
        <w:gridCol w:w="1060"/>
        <w:gridCol w:w="20"/>
      </w:tblGrid>
      <w:tr w:rsidR="00286A60" w:rsidRPr="0060618B" w14:paraId="264D5567" w14:textId="77777777" w:rsidTr="00510DC0">
        <w:trPr>
          <w:gridAfter w:val="1"/>
          <w:wAfter w:w="20" w:type="dxa"/>
          <w:trHeight w:val="20"/>
          <w:jc w:val="center"/>
        </w:trPr>
        <w:tc>
          <w:tcPr>
            <w:tcW w:w="1448" w:type="dxa"/>
            <w:vMerge w:val="restart"/>
            <w:vAlign w:val="center"/>
            <w:hideMark/>
          </w:tcPr>
          <w:p w14:paraId="3F632F62" w14:textId="77777777" w:rsidR="006261BF" w:rsidRPr="00C84209" w:rsidRDefault="006261BF" w:rsidP="0060618B">
            <w:pPr>
              <w:spacing w:after="0" w:line="276" w:lineRule="auto"/>
              <w:jc w:val="both"/>
              <w:rPr>
                <w:rFonts w:ascii="Times New Roman" w:eastAsia="Times New Roman" w:hAnsi="Times New Roman" w:cs="Times New Roman"/>
                <w:b/>
              </w:rPr>
            </w:pPr>
            <w:r w:rsidRPr="00C84209">
              <w:rPr>
                <w:rFonts w:ascii="Times New Roman" w:eastAsia="Times New Roman" w:hAnsi="Times New Roman" w:cs="Times New Roman"/>
                <w:b/>
              </w:rPr>
              <w:t>Variable(s)</w:t>
            </w:r>
          </w:p>
          <w:p w14:paraId="5B1DA116" w14:textId="77777777" w:rsidR="006261BF" w:rsidRPr="00C84209" w:rsidRDefault="006261BF" w:rsidP="0060618B">
            <w:pPr>
              <w:spacing w:after="0" w:line="276" w:lineRule="auto"/>
              <w:jc w:val="both"/>
              <w:rPr>
                <w:rFonts w:ascii="Times New Roman" w:eastAsia="Times New Roman" w:hAnsi="Times New Roman" w:cs="Times New Roman"/>
                <w:b/>
              </w:rPr>
            </w:pPr>
          </w:p>
        </w:tc>
        <w:tc>
          <w:tcPr>
            <w:tcW w:w="2255" w:type="dxa"/>
            <w:gridSpan w:val="3"/>
            <w:vMerge w:val="restart"/>
            <w:vAlign w:val="center"/>
            <w:hideMark/>
          </w:tcPr>
          <w:p w14:paraId="1AB9A4B5" w14:textId="77777777" w:rsidR="006261BF" w:rsidRPr="00C84209" w:rsidRDefault="006261BF" w:rsidP="0060618B">
            <w:pPr>
              <w:spacing w:after="0" w:line="276" w:lineRule="auto"/>
              <w:jc w:val="both"/>
              <w:rPr>
                <w:rFonts w:ascii="Times New Roman" w:eastAsia="Times New Roman" w:hAnsi="Times New Roman" w:cs="Times New Roman"/>
                <w:b/>
              </w:rPr>
            </w:pPr>
          </w:p>
          <w:p w14:paraId="5EF073D1" w14:textId="77777777" w:rsidR="006261BF" w:rsidRPr="00C84209" w:rsidRDefault="006261BF" w:rsidP="0060618B">
            <w:pPr>
              <w:spacing w:after="0" w:line="276" w:lineRule="auto"/>
              <w:jc w:val="both"/>
              <w:rPr>
                <w:rFonts w:ascii="Times New Roman" w:eastAsia="Times New Roman" w:hAnsi="Times New Roman" w:cs="Times New Roman"/>
                <w:b/>
              </w:rPr>
            </w:pPr>
            <w:r w:rsidRPr="00C84209">
              <w:rPr>
                <w:rFonts w:ascii="Times New Roman" w:eastAsia="Times New Roman" w:hAnsi="Times New Roman" w:cs="Times New Roman"/>
                <w:b/>
              </w:rPr>
              <w:t>Comparison of</w:t>
            </w:r>
          </w:p>
          <w:p w14:paraId="4997FE61" w14:textId="77777777" w:rsidR="006261BF" w:rsidRPr="00C84209" w:rsidRDefault="006261BF" w:rsidP="0060618B">
            <w:pPr>
              <w:spacing w:after="0" w:line="276" w:lineRule="auto"/>
              <w:jc w:val="both"/>
              <w:rPr>
                <w:rFonts w:ascii="Times New Roman" w:eastAsia="Times New Roman" w:hAnsi="Times New Roman" w:cs="Times New Roman"/>
                <w:b/>
              </w:rPr>
            </w:pPr>
          </w:p>
          <w:p w14:paraId="6706A6D4" w14:textId="77777777" w:rsidR="006261BF" w:rsidRPr="00C84209" w:rsidRDefault="006261BF" w:rsidP="0060618B">
            <w:pPr>
              <w:spacing w:after="0" w:line="276" w:lineRule="auto"/>
              <w:jc w:val="both"/>
              <w:rPr>
                <w:rFonts w:ascii="Times New Roman" w:eastAsia="Times New Roman" w:hAnsi="Times New Roman" w:cs="Times New Roman"/>
                <w:b/>
              </w:rPr>
            </w:pPr>
          </w:p>
        </w:tc>
        <w:tc>
          <w:tcPr>
            <w:tcW w:w="1392" w:type="dxa"/>
            <w:gridSpan w:val="2"/>
            <w:vMerge w:val="restart"/>
            <w:vAlign w:val="center"/>
            <w:hideMark/>
          </w:tcPr>
          <w:p w14:paraId="053AF9D2" w14:textId="77777777" w:rsidR="006261BF" w:rsidRPr="00C84209" w:rsidRDefault="006261BF" w:rsidP="0060618B">
            <w:pPr>
              <w:spacing w:after="0" w:line="276" w:lineRule="auto"/>
              <w:jc w:val="both"/>
              <w:rPr>
                <w:rFonts w:ascii="Times New Roman" w:eastAsia="Times New Roman" w:hAnsi="Times New Roman" w:cs="Times New Roman"/>
                <w:b/>
              </w:rPr>
            </w:pPr>
            <w:r w:rsidRPr="00C84209">
              <w:rPr>
                <w:rFonts w:ascii="Times New Roman" w:eastAsia="Times New Roman" w:hAnsi="Times New Roman" w:cs="Times New Roman"/>
                <w:b/>
              </w:rPr>
              <w:t>Mean Difference</w:t>
            </w:r>
          </w:p>
        </w:tc>
        <w:tc>
          <w:tcPr>
            <w:tcW w:w="1054" w:type="dxa"/>
            <w:gridSpan w:val="2"/>
            <w:vMerge w:val="restart"/>
            <w:vAlign w:val="center"/>
            <w:hideMark/>
          </w:tcPr>
          <w:p w14:paraId="428EA8DB" w14:textId="77777777" w:rsidR="006261BF" w:rsidRPr="00C84209" w:rsidRDefault="006261BF" w:rsidP="0060618B">
            <w:pPr>
              <w:spacing w:after="0" w:line="276" w:lineRule="auto"/>
              <w:jc w:val="both"/>
              <w:rPr>
                <w:rFonts w:ascii="Times New Roman" w:eastAsia="Times New Roman" w:hAnsi="Times New Roman" w:cs="Times New Roman"/>
                <w:b/>
              </w:rPr>
            </w:pPr>
            <w:r w:rsidRPr="00C84209">
              <w:rPr>
                <w:rFonts w:ascii="Times New Roman" w:eastAsia="Times New Roman" w:hAnsi="Times New Roman" w:cs="Times New Roman"/>
                <w:b/>
              </w:rPr>
              <w:t>S.E</w:t>
            </w:r>
          </w:p>
        </w:tc>
        <w:tc>
          <w:tcPr>
            <w:tcW w:w="2110" w:type="dxa"/>
            <w:gridSpan w:val="3"/>
            <w:vAlign w:val="center"/>
            <w:hideMark/>
          </w:tcPr>
          <w:p w14:paraId="75F0C2E8" w14:textId="77777777" w:rsidR="006261BF" w:rsidRPr="00C84209" w:rsidRDefault="006261BF" w:rsidP="0060618B">
            <w:pPr>
              <w:spacing w:after="0" w:line="276" w:lineRule="auto"/>
              <w:jc w:val="both"/>
              <w:rPr>
                <w:rFonts w:ascii="Times New Roman" w:eastAsia="Times New Roman" w:hAnsi="Times New Roman" w:cs="Times New Roman"/>
                <w:b/>
              </w:rPr>
            </w:pPr>
            <w:r w:rsidRPr="00C84209">
              <w:rPr>
                <w:rFonts w:ascii="Times New Roman" w:eastAsia="Times New Roman" w:hAnsi="Times New Roman" w:cs="Times New Roman"/>
                <w:b/>
              </w:rPr>
              <w:t>Confidence Interval(95%)</w:t>
            </w:r>
          </w:p>
        </w:tc>
        <w:tc>
          <w:tcPr>
            <w:tcW w:w="1096" w:type="dxa"/>
            <w:gridSpan w:val="2"/>
            <w:vMerge w:val="restart"/>
            <w:noWrap/>
            <w:vAlign w:val="center"/>
            <w:hideMark/>
          </w:tcPr>
          <w:p w14:paraId="307226F5" w14:textId="77777777" w:rsidR="006261BF" w:rsidRPr="00C84209" w:rsidRDefault="006261BF" w:rsidP="0060618B">
            <w:pPr>
              <w:spacing w:after="0" w:line="276" w:lineRule="auto"/>
              <w:jc w:val="both"/>
              <w:rPr>
                <w:rFonts w:ascii="Times New Roman" w:eastAsia="Times New Roman" w:hAnsi="Times New Roman" w:cs="Times New Roman"/>
                <w:b/>
              </w:rPr>
            </w:pPr>
            <w:r w:rsidRPr="00C84209">
              <w:rPr>
                <w:rFonts w:ascii="Times New Roman" w:eastAsia="Times New Roman" w:hAnsi="Times New Roman" w:cs="Times New Roman"/>
                <w:b/>
              </w:rPr>
              <w:t>p-value</w:t>
            </w:r>
          </w:p>
        </w:tc>
      </w:tr>
      <w:tr w:rsidR="00286A60" w:rsidRPr="0060618B" w14:paraId="387ED2A6" w14:textId="77777777" w:rsidTr="00510DC0">
        <w:trPr>
          <w:gridAfter w:val="1"/>
          <w:wAfter w:w="20" w:type="dxa"/>
          <w:trHeight w:val="20"/>
          <w:jc w:val="center"/>
        </w:trPr>
        <w:tc>
          <w:tcPr>
            <w:tcW w:w="1448" w:type="dxa"/>
            <w:vMerge/>
            <w:vAlign w:val="center"/>
            <w:hideMark/>
          </w:tcPr>
          <w:p w14:paraId="7FD2266F" w14:textId="77777777" w:rsidR="006261BF" w:rsidRPr="00C84209" w:rsidRDefault="006261BF" w:rsidP="0060618B">
            <w:pPr>
              <w:spacing w:after="0" w:line="276" w:lineRule="auto"/>
              <w:jc w:val="both"/>
              <w:rPr>
                <w:rFonts w:ascii="Times New Roman" w:eastAsia="Times New Roman" w:hAnsi="Times New Roman" w:cs="Times New Roman"/>
                <w:b/>
              </w:rPr>
            </w:pPr>
          </w:p>
        </w:tc>
        <w:tc>
          <w:tcPr>
            <w:tcW w:w="2255" w:type="dxa"/>
            <w:gridSpan w:val="3"/>
            <w:vMerge/>
            <w:vAlign w:val="center"/>
            <w:hideMark/>
          </w:tcPr>
          <w:p w14:paraId="3C195E3F" w14:textId="77777777" w:rsidR="006261BF" w:rsidRPr="00C84209" w:rsidRDefault="006261BF" w:rsidP="0060618B">
            <w:pPr>
              <w:spacing w:after="0" w:line="276" w:lineRule="auto"/>
              <w:jc w:val="both"/>
              <w:rPr>
                <w:rFonts w:ascii="Times New Roman" w:eastAsia="Times New Roman" w:hAnsi="Times New Roman" w:cs="Times New Roman"/>
                <w:b/>
              </w:rPr>
            </w:pPr>
          </w:p>
        </w:tc>
        <w:tc>
          <w:tcPr>
            <w:tcW w:w="1392" w:type="dxa"/>
            <w:gridSpan w:val="2"/>
            <w:vMerge/>
            <w:vAlign w:val="center"/>
            <w:hideMark/>
          </w:tcPr>
          <w:p w14:paraId="34415C59" w14:textId="77777777" w:rsidR="006261BF" w:rsidRPr="00C84209" w:rsidRDefault="006261BF" w:rsidP="0060618B">
            <w:pPr>
              <w:spacing w:after="0" w:line="276" w:lineRule="auto"/>
              <w:jc w:val="both"/>
              <w:rPr>
                <w:rFonts w:ascii="Times New Roman" w:eastAsia="Times New Roman" w:hAnsi="Times New Roman" w:cs="Times New Roman"/>
                <w:b/>
              </w:rPr>
            </w:pPr>
          </w:p>
        </w:tc>
        <w:tc>
          <w:tcPr>
            <w:tcW w:w="1054" w:type="dxa"/>
            <w:gridSpan w:val="2"/>
            <w:vMerge/>
            <w:vAlign w:val="center"/>
            <w:hideMark/>
          </w:tcPr>
          <w:p w14:paraId="4A80846B" w14:textId="77777777" w:rsidR="006261BF" w:rsidRPr="00C84209" w:rsidRDefault="006261BF" w:rsidP="0060618B">
            <w:pPr>
              <w:spacing w:after="0" w:line="276" w:lineRule="auto"/>
              <w:jc w:val="both"/>
              <w:rPr>
                <w:rFonts w:ascii="Times New Roman" w:eastAsia="Times New Roman" w:hAnsi="Times New Roman" w:cs="Times New Roman"/>
                <w:b/>
              </w:rPr>
            </w:pPr>
          </w:p>
        </w:tc>
        <w:tc>
          <w:tcPr>
            <w:tcW w:w="1054" w:type="dxa"/>
            <w:vAlign w:val="center"/>
            <w:hideMark/>
          </w:tcPr>
          <w:p w14:paraId="3F64DEA7" w14:textId="77777777" w:rsidR="006261BF" w:rsidRPr="00C84209" w:rsidRDefault="006261BF" w:rsidP="0060618B">
            <w:pPr>
              <w:spacing w:after="0" w:line="276" w:lineRule="auto"/>
              <w:jc w:val="both"/>
              <w:rPr>
                <w:rFonts w:ascii="Times New Roman" w:eastAsia="Times New Roman" w:hAnsi="Times New Roman" w:cs="Times New Roman"/>
                <w:b/>
              </w:rPr>
            </w:pPr>
            <w:r w:rsidRPr="00C84209">
              <w:rPr>
                <w:rFonts w:ascii="Times New Roman" w:eastAsia="Times New Roman" w:hAnsi="Times New Roman" w:cs="Times New Roman"/>
                <w:b/>
              </w:rPr>
              <w:t>Lower Bound</w:t>
            </w:r>
          </w:p>
        </w:tc>
        <w:tc>
          <w:tcPr>
            <w:tcW w:w="1056" w:type="dxa"/>
            <w:gridSpan w:val="2"/>
            <w:vAlign w:val="center"/>
            <w:hideMark/>
          </w:tcPr>
          <w:p w14:paraId="1BBE8815" w14:textId="77777777" w:rsidR="006261BF" w:rsidRPr="00C84209" w:rsidRDefault="006261BF" w:rsidP="0060618B">
            <w:pPr>
              <w:spacing w:after="0" w:line="276" w:lineRule="auto"/>
              <w:jc w:val="both"/>
              <w:rPr>
                <w:rFonts w:ascii="Times New Roman" w:eastAsia="Times New Roman" w:hAnsi="Times New Roman" w:cs="Times New Roman"/>
                <w:b/>
              </w:rPr>
            </w:pPr>
            <w:r w:rsidRPr="00C84209">
              <w:rPr>
                <w:rFonts w:ascii="Times New Roman" w:eastAsia="Times New Roman" w:hAnsi="Times New Roman" w:cs="Times New Roman"/>
                <w:b/>
              </w:rPr>
              <w:t>Upper Bound</w:t>
            </w:r>
          </w:p>
        </w:tc>
        <w:tc>
          <w:tcPr>
            <w:tcW w:w="1096" w:type="dxa"/>
            <w:gridSpan w:val="2"/>
            <w:vMerge/>
            <w:noWrap/>
            <w:vAlign w:val="center"/>
            <w:hideMark/>
          </w:tcPr>
          <w:p w14:paraId="7777582E" w14:textId="77777777" w:rsidR="006261BF" w:rsidRPr="0060618B" w:rsidRDefault="006261BF" w:rsidP="0060618B">
            <w:pPr>
              <w:spacing w:after="0" w:line="276" w:lineRule="auto"/>
              <w:jc w:val="both"/>
              <w:rPr>
                <w:rFonts w:ascii="Times New Roman" w:eastAsia="Times New Roman" w:hAnsi="Times New Roman" w:cs="Times New Roman"/>
              </w:rPr>
            </w:pPr>
          </w:p>
        </w:tc>
      </w:tr>
      <w:tr w:rsidR="00286A60" w:rsidRPr="0060618B" w14:paraId="48AA55C5" w14:textId="77777777" w:rsidTr="00786E87">
        <w:trPr>
          <w:gridAfter w:val="1"/>
          <w:wAfter w:w="20" w:type="dxa"/>
          <w:trHeight w:val="20"/>
          <w:jc w:val="center"/>
        </w:trPr>
        <w:tc>
          <w:tcPr>
            <w:tcW w:w="1448" w:type="dxa"/>
            <w:vMerge w:val="restart"/>
            <w:vAlign w:val="center"/>
          </w:tcPr>
          <w:p w14:paraId="7464008B" w14:textId="77777777" w:rsidR="00510DC0" w:rsidRPr="0060618B" w:rsidRDefault="00510DC0"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Fasting blood sugar</w:t>
            </w:r>
          </w:p>
          <w:p w14:paraId="3B75D752" w14:textId="77777777" w:rsidR="00510DC0" w:rsidRPr="0060618B" w:rsidRDefault="00510DC0"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(mg/dl)</w:t>
            </w:r>
          </w:p>
        </w:tc>
        <w:tc>
          <w:tcPr>
            <w:tcW w:w="1114" w:type="dxa"/>
            <w:gridSpan w:val="2"/>
            <w:vAlign w:val="center"/>
          </w:tcPr>
          <w:p w14:paraId="32D24453" w14:textId="77777777" w:rsidR="00510DC0" w:rsidRPr="0060618B" w:rsidRDefault="00510DC0"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T2DM</w:t>
            </w:r>
          </w:p>
        </w:tc>
        <w:tc>
          <w:tcPr>
            <w:tcW w:w="1141" w:type="dxa"/>
            <w:vAlign w:val="center"/>
          </w:tcPr>
          <w:p w14:paraId="4793EE55" w14:textId="77777777" w:rsidR="00510DC0" w:rsidRPr="0060618B" w:rsidRDefault="00510DC0"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DFUs</w:t>
            </w:r>
          </w:p>
        </w:tc>
        <w:tc>
          <w:tcPr>
            <w:tcW w:w="1392" w:type="dxa"/>
            <w:gridSpan w:val="2"/>
            <w:noWrap/>
            <w:vAlign w:val="center"/>
          </w:tcPr>
          <w:p w14:paraId="112B05FA"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12.0</w:t>
            </w:r>
          </w:p>
        </w:tc>
        <w:tc>
          <w:tcPr>
            <w:tcW w:w="1054" w:type="dxa"/>
            <w:gridSpan w:val="2"/>
            <w:noWrap/>
            <w:vAlign w:val="center"/>
          </w:tcPr>
          <w:p w14:paraId="3A910C28"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18.0</w:t>
            </w:r>
          </w:p>
        </w:tc>
        <w:tc>
          <w:tcPr>
            <w:tcW w:w="1054" w:type="dxa"/>
            <w:noWrap/>
            <w:vAlign w:val="center"/>
          </w:tcPr>
          <w:p w14:paraId="698C272E"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-31.7</w:t>
            </w:r>
          </w:p>
        </w:tc>
        <w:tc>
          <w:tcPr>
            <w:tcW w:w="1056" w:type="dxa"/>
            <w:gridSpan w:val="2"/>
            <w:noWrap/>
            <w:vAlign w:val="center"/>
          </w:tcPr>
          <w:p w14:paraId="40C808F2"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55.8</w:t>
            </w:r>
          </w:p>
        </w:tc>
        <w:tc>
          <w:tcPr>
            <w:tcW w:w="1096" w:type="dxa"/>
            <w:gridSpan w:val="2"/>
            <w:noWrap/>
            <w:vAlign w:val="center"/>
          </w:tcPr>
          <w:p w14:paraId="550C01B5"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0.877</w:t>
            </w:r>
          </w:p>
        </w:tc>
      </w:tr>
      <w:tr w:rsidR="00286A60" w:rsidRPr="0060618B" w14:paraId="0D371651" w14:textId="77777777" w:rsidTr="00786E87">
        <w:trPr>
          <w:gridAfter w:val="1"/>
          <w:wAfter w:w="20" w:type="dxa"/>
          <w:trHeight w:val="20"/>
          <w:jc w:val="center"/>
        </w:trPr>
        <w:tc>
          <w:tcPr>
            <w:tcW w:w="1448" w:type="dxa"/>
            <w:vMerge/>
            <w:vAlign w:val="center"/>
          </w:tcPr>
          <w:p w14:paraId="49A93850" w14:textId="77777777" w:rsidR="00510DC0" w:rsidRPr="0060618B" w:rsidRDefault="00510DC0" w:rsidP="0060618B">
            <w:pPr>
              <w:spacing w:after="0" w:line="276" w:lineRule="auto"/>
              <w:jc w:val="both"/>
              <w:rPr>
                <w:rFonts w:ascii="Times New Roman" w:eastAsia="Times New Roman" w:hAnsi="Times New Roman" w:cs="Times New Roman"/>
              </w:rPr>
            </w:pPr>
          </w:p>
        </w:tc>
        <w:tc>
          <w:tcPr>
            <w:tcW w:w="1114" w:type="dxa"/>
            <w:gridSpan w:val="2"/>
            <w:vAlign w:val="center"/>
          </w:tcPr>
          <w:p w14:paraId="7BE2356B" w14:textId="77777777" w:rsidR="00510DC0" w:rsidRPr="0060618B" w:rsidRDefault="00510DC0"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Control</w:t>
            </w:r>
          </w:p>
        </w:tc>
        <w:tc>
          <w:tcPr>
            <w:tcW w:w="1141" w:type="dxa"/>
            <w:vAlign w:val="center"/>
          </w:tcPr>
          <w:p w14:paraId="30283A57" w14:textId="77777777" w:rsidR="00510DC0" w:rsidRPr="0060618B" w:rsidRDefault="00510DC0"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T2DM</w:t>
            </w:r>
          </w:p>
        </w:tc>
        <w:tc>
          <w:tcPr>
            <w:tcW w:w="1392" w:type="dxa"/>
            <w:gridSpan w:val="2"/>
            <w:noWrap/>
            <w:vAlign w:val="center"/>
          </w:tcPr>
          <w:p w14:paraId="1252E7D0"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-79.5</w:t>
            </w:r>
          </w:p>
        </w:tc>
        <w:tc>
          <w:tcPr>
            <w:tcW w:w="1054" w:type="dxa"/>
            <w:gridSpan w:val="2"/>
            <w:noWrap/>
            <w:vAlign w:val="center"/>
          </w:tcPr>
          <w:p w14:paraId="1193BFA0"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11.4</w:t>
            </w:r>
          </w:p>
        </w:tc>
        <w:tc>
          <w:tcPr>
            <w:tcW w:w="1054" w:type="dxa"/>
            <w:noWrap/>
            <w:vAlign w:val="center"/>
          </w:tcPr>
          <w:p w14:paraId="6C2B2547"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-107.6</w:t>
            </w:r>
          </w:p>
        </w:tc>
        <w:tc>
          <w:tcPr>
            <w:tcW w:w="1056" w:type="dxa"/>
            <w:gridSpan w:val="2"/>
            <w:noWrap/>
            <w:vAlign w:val="center"/>
          </w:tcPr>
          <w:p w14:paraId="4E4211EC"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-51.5</w:t>
            </w:r>
          </w:p>
        </w:tc>
        <w:tc>
          <w:tcPr>
            <w:tcW w:w="1096" w:type="dxa"/>
            <w:gridSpan w:val="2"/>
            <w:noWrap/>
            <w:vAlign w:val="center"/>
          </w:tcPr>
          <w:p w14:paraId="57B671C2"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0.001*</w:t>
            </w:r>
          </w:p>
        </w:tc>
      </w:tr>
      <w:tr w:rsidR="00286A60" w:rsidRPr="0060618B" w14:paraId="2911FF4F" w14:textId="77777777" w:rsidTr="00786E87">
        <w:trPr>
          <w:gridAfter w:val="1"/>
          <w:wAfter w:w="20" w:type="dxa"/>
          <w:trHeight w:val="20"/>
          <w:jc w:val="center"/>
        </w:trPr>
        <w:tc>
          <w:tcPr>
            <w:tcW w:w="1448" w:type="dxa"/>
            <w:vMerge/>
            <w:vAlign w:val="center"/>
          </w:tcPr>
          <w:p w14:paraId="155FD80D" w14:textId="77777777" w:rsidR="00510DC0" w:rsidRPr="0060618B" w:rsidRDefault="00510DC0" w:rsidP="0060618B">
            <w:pPr>
              <w:spacing w:after="0" w:line="276" w:lineRule="auto"/>
              <w:jc w:val="both"/>
              <w:rPr>
                <w:rFonts w:ascii="Times New Roman" w:eastAsia="Times New Roman" w:hAnsi="Times New Roman" w:cs="Times New Roman"/>
              </w:rPr>
            </w:pPr>
          </w:p>
        </w:tc>
        <w:tc>
          <w:tcPr>
            <w:tcW w:w="1114" w:type="dxa"/>
            <w:gridSpan w:val="2"/>
            <w:vAlign w:val="center"/>
          </w:tcPr>
          <w:p w14:paraId="18F02E29" w14:textId="77777777" w:rsidR="00510DC0" w:rsidRPr="0060618B" w:rsidRDefault="00510DC0"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Control</w:t>
            </w:r>
          </w:p>
        </w:tc>
        <w:tc>
          <w:tcPr>
            <w:tcW w:w="1141" w:type="dxa"/>
            <w:vAlign w:val="center"/>
          </w:tcPr>
          <w:p w14:paraId="5127A0A7" w14:textId="77777777" w:rsidR="00510DC0" w:rsidRPr="0060618B" w:rsidRDefault="00510DC0"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DFUs</w:t>
            </w:r>
          </w:p>
        </w:tc>
        <w:tc>
          <w:tcPr>
            <w:tcW w:w="1392" w:type="dxa"/>
            <w:gridSpan w:val="2"/>
            <w:noWrap/>
            <w:vAlign w:val="center"/>
          </w:tcPr>
          <w:p w14:paraId="784B04A0"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-67.5</w:t>
            </w:r>
          </w:p>
        </w:tc>
        <w:tc>
          <w:tcPr>
            <w:tcW w:w="1054" w:type="dxa"/>
            <w:gridSpan w:val="2"/>
            <w:noWrap/>
            <w:vAlign w:val="center"/>
          </w:tcPr>
          <w:p w14:paraId="70FD65C8"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14.2</w:t>
            </w:r>
          </w:p>
        </w:tc>
        <w:tc>
          <w:tcPr>
            <w:tcW w:w="1054" w:type="dxa"/>
            <w:noWrap/>
            <w:vAlign w:val="center"/>
          </w:tcPr>
          <w:p w14:paraId="4436AD01"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-102.6</w:t>
            </w:r>
          </w:p>
        </w:tc>
        <w:tc>
          <w:tcPr>
            <w:tcW w:w="1056" w:type="dxa"/>
            <w:gridSpan w:val="2"/>
            <w:noWrap/>
            <w:vAlign w:val="center"/>
          </w:tcPr>
          <w:p w14:paraId="0097E93E"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-32.4</w:t>
            </w:r>
          </w:p>
        </w:tc>
        <w:tc>
          <w:tcPr>
            <w:tcW w:w="1096" w:type="dxa"/>
            <w:gridSpan w:val="2"/>
            <w:noWrap/>
            <w:vAlign w:val="center"/>
          </w:tcPr>
          <w:p w14:paraId="5EDB95E3"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0.001*</w:t>
            </w:r>
          </w:p>
        </w:tc>
      </w:tr>
      <w:tr w:rsidR="00286A60" w:rsidRPr="0060618B" w14:paraId="4BDDA4D4" w14:textId="77777777" w:rsidTr="00786E87">
        <w:trPr>
          <w:gridAfter w:val="1"/>
          <w:wAfter w:w="20" w:type="dxa"/>
          <w:trHeight w:val="20"/>
          <w:jc w:val="center"/>
        </w:trPr>
        <w:tc>
          <w:tcPr>
            <w:tcW w:w="1448" w:type="dxa"/>
            <w:vMerge w:val="restart"/>
            <w:vAlign w:val="center"/>
          </w:tcPr>
          <w:p w14:paraId="327C3079" w14:textId="77777777" w:rsidR="00510DC0" w:rsidRPr="0060618B" w:rsidRDefault="00510DC0"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HbA1c</w:t>
            </w:r>
          </w:p>
        </w:tc>
        <w:tc>
          <w:tcPr>
            <w:tcW w:w="1114" w:type="dxa"/>
            <w:gridSpan w:val="2"/>
            <w:vAlign w:val="center"/>
          </w:tcPr>
          <w:p w14:paraId="615C6354" w14:textId="77777777" w:rsidR="00510DC0" w:rsidRPr="0060618B" w:rsidRDefault="00510DC0"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T2DM</w:t>
            </w:r>
          </w:p>
        </w:tc>
        <w:tc>
          <w:tcPr>
            <w:tcW w:w="1141" w:type="dxa"/>
            <w:vAlign w:val="center"/>
          </w:tcPr>
          <w:p w14:paraId="305B7165" w14:textId="77777777" w:rsidR="00510DC0" w:rsidRPr="0060618B" w:rsidRDefault="00510DC0"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DFUs</w:t>
            </w:r>
          </w:p>
        </w:tc>
        <w:tc>
          <w:tcPr>
            <w:tcW w:w="1392" w:type="dxa"/>
            <w:gridSpan w:val="2"/>
            <w:noWrap/>
            <w:vAlign w:val="center"/>
          </w:tcPr>
          <w:p w14:paraId="3F1A0E67"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-0.9</w:t>
            </w:r>
          </w:p>
        </w:tc>
        <w:tc>
          <w:tcPr>
            <w:tcW w:w="1054" w:type="dxa"/>
            <w:gridSpan w:val="2"/>
            <w:noWrap/>
            <w:vAlign w:val="center"/>
          </w:tcPr>
          <w:p w14:paraId="65A74FAC"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0.4</w:t>
            </w:r>
          </w:p>
        </w:tc>
        <w:tc>
          <w:tcPr>
            <w:tcW w:w="1054" w:type="dxa"/>
            <w:noWrap/>
            <w:vAlign w:val="center"/>
          </w:tcPr>
          <w:p w14:paraId="5EA8538C"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-1.9</w:t>
            </w:r>
          </w:p>
        </w:tc>
        <w:tc>
          <w:tcPr>
            <w:tcW w:w="1056" w:type="dxa"/>
            <w:gridSpan w:val="2"/>
            <w:noWrap/>
            <w:vAlign w:val="center"/>
          </w:tcPr>
          <w:p w14:paraId="7A9A086F"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0.2</w:t>
            </w:r>
          </w:p>
        </w:tc>
        <w:tc>
          <w:tcPr>
            <w:tcW w:w="1096" w:type="dxa"/>
            <w:gridSpan w:val="2"/>
            <w:noWrap/>
            <w:vAlign w:val="center"/>
          </w:tcPr>
          <w:p w14:paraId="02427DB8"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0.142</w:t>
            </w:r>
          </w:p>
        </w:tc>
      </w:tr>
      <w:tr w:rsidR="00286A60" w:rsidRPr="0060618B" w14:paraId="09142C8E" w14:textId="77777777" w:rsidTr="00786E87">
        <w:trPr>
          <w:gridAfter w:val="1"/>
          <w:wAfter w:w="20" w:type="dxa"/>
          <w:trHeight w:val="20"/>
          <w:jc w:val="center"/>
        </w:trPr>
        <w:tc>
          <w:tcPr>
            <w:tcW w:w="1448" w:type="dxa"/>
            <w:vMerge/>
            <w:vAlign w:val="center"/>
          </w:tcPr>
          <w:p w14:paraId="11094092" w14:textId="77777777" w:rsidR="00510DC0" w:rsidRPr="0060618B" w:rsidRDefault="00510DC0" w:rsidP="0060618B">
            <w:pPr>
              <w:spacing w:after="0" w:line="276" w:lineRule="auto"/>
              <w:jc w:val="both"/>
              <w:rPr>
                <w:rFonts w:ascii="Times New Roman" w:eastAsia="Times New Roman" w:hAnsi="Times New Roman" w:cs="Times New Roman"/>
              </w:rPr>
            </w:pPr>
          </w:p>
        </w:tc>
        <w:tc>
          <w:tcPr>
            <w:tcW w:w="1114" w:type="dxa"/>
            <w:gridSpan w:val="2"/>
            <w:vAlign w:val="center"/>
          </w:tcPr>
          <w:p w14:paraId="2AFEEC92" w14:textId="77777777" w:rsidR="00510DC0" w:rsidRPr="0060618B" w:rsidRDefault="00510DC0"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Control</w:t>
            </w:r>
          </w:p>
        </w:tc>
        <w:tc>
          <w:tcPr>
            <w:tcW w:w="1141" w:type="dxa"/>
            <w:vAlign w:val="center"/>
          </w:tcPr>
          <w:p w14:paraId="10C6541D" w14:textId="77777777" w:rsidR="00510DC0" w:rsidRPr="0060618B" w:rsidRDefault="00510DC0"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T2DM</w:t>
            </w:r>
          </w:p>
        </w:tc>
        <w:tc>
          <w:tcPr>
            <w:tcW w:w="1392" w:type="dxa"/>
            <w:gridSpan w:val="2"/>
            <w:noWrap/>
            <w:vAlign w:val="center"/>
          </w:tcPr>
          <w:p w14:paraId="2395A36B"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-3.2</w:t>
            </w:r>
          </w:p>
        </w:tc>
        <w:tc>
          <w:tcPr>
            <w:tcW w:w="1054" w:type="dxa"/>
            <w:gridSpan w:val="2"/>
            <w:noWrap/>
            <w:vAlign w:val="center"/>
          </w:tcPr>
          <w:p w14:paraId="3EAB1344"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0.3</w:t>
            </w:r>
          </w:p>
        </w:tc>
        <w:tc>
          <w:tcPr>
            <w:tcW w:w="1054" w:type="dxa"/>
            <w:noWrap/>
            <w:vAlign w:val="center"/>
          </w:tcPr>
          <w:p w14:paraId="440EF7E9"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-4.0</w:t>
            </w:r>
          </w:p>
        </w:tc>
        <w:tc>
          <w:tcPr>
            <w:tcW w:w="1056" w:type="dxa"/>
            <w:gridSpan w:val="2"/>
            <w:noWrap/>
            <w:vAlign w:val="center"/>
          </w:tcPr>
          <w:p w14:paraId="0D49882E"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-2.5</w:t>
            </w:r>
          </w:p>
        </w:tc>
        <w:tc>
          <w:tcPr>
            <w:tcW w:w="1096" w:type="dxa"/>
            <w:gridSpan w:val="2"/>
            <w:noWrap/>
            <w:vAlign w:val="center"/>
          </w:tcPr>
          <w:p w14:paraId="58F9FAB7"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0.001*</w:t>
            </w:r>
          </w:p>
        </w:tc>
      </w:tr>
      <w:tr w:rsidR="00286A60" w:rsidRPr="0060618B" w14:paraId="1D05F816" w14:textId="77777777" w:rsidTr="00786E87">
        <w:trPr>
          <w:gridAfter w:val="1"/>
          <w:wAfter w:w="20" w:type="dxa"/>
          <w:trHeight w:val="20"/>
          <w:jc w:val="center"/>
        </w:trPr>
        <w:tc>
          <w:tcPr>
            <w:tcW w:w="1448" w:type="dxa"/>
            <w:vMerge/>
            <w:vAlign w:val="center"/>
          </w:tcPr>
          <w:p w14:paraId="65FDF08A" w14:textId="77777777" w:rsidR="00510DC0" w:rsidRPr="0060618B" w:rsidRDefault="00510DC0" w:rsidP="0060618B">
            <w:pPr>
              <w:spacing w:after="0" w:line="276" w:lineRule="auto"/>
              <w:jc w:val="both"/>
              <w:rPr>
                <w:rFonts w:ascii="Times New Roman" w:eastAsia="Times New Roman" w:hAnsi="Times New Roman" w:cs="Times New Roman"/>
              </w:rPr>
            </w:pPr>
          </w:p>
        </w:tc>
        <w:tc>
          <w:tcPr>
            <w:tcW w:w="1114" w:type="dxa"/>
            <w:gridSpan w:val="2"/>
            <w:vAlign w:val="center"/>
          </w:tcPr>
          <w:p w14:paraId="5A01DDBC" w14:textId="77777777" w:rsidR="00510DC0" w:rsidRPr="0060618B" w:rsidRDefault="00510DC0"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Control</w:t>
            </w:r>
          </w:p>
        </w:tc>
        <w:tc>
          <w:tcPr>
            <w:tcW w:w="1141" w:type="dxa"/>
            <w:vAlign w:val="center"/>
          </w:tcPr>
          <w:p w14:paraId="14A45BF4" w14:textId="77777777" w:rsidR="00510DC0" w:rsidRPr="0060618B" w:rsidRDefault="00510DC0"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DFUs</w:t>
            </w:r>
          </w:p>
        </w:tc>
        <w:tc>
          <w:tcPr>
            <w:tcW w:w="1392" w:type="dxa"/>
            <w:gridSpan w:val="2"/>
            <w:noWrap/>
            <w:vAlign w:val="center"/>
          </w:tcPr>
          <w:p w14:paraId="00684D47"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-4.1</w:t>
            </w:r>
          </w:p>
        </w:tc>
        <w:tc>
          <w:tcPr>
            <w:tcW w:w="1054" w:type="dxa"/>
            <w:gridSpan w:val="2"/>
            <w:noWrap/>
            <w:vAlign w:val="center"/>
          </w:tcPr>
          <w:p w14:paraId="3C6941A9"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0.3</w:t>
            </w:r>
          </w:p>
        </w:tc>
        <w:tc>
          <w:tcPr>
            <w:tcW w:w="1054" w:type="dxa"/>
            <w:noWrap/>
            <w:vAlign w:val="center"/>
          </w:tcPr>
          <w:p w14:paraId="2D08B1F6"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-4.9</w:t>
            </w:r>
          </w:p>
        </w:tc>
        <w:tc>
          <w:tcPr>
            <w:tcW w:w="1056" w:type="dxa"/>
            <w:gridSpan w:val="2"/>
            <w:noWrap/>
            <w:vAlign w:val="center"/>
          </w:tcPr>
          <w:p w14:paraId="419FE9C2"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-3.3</w:t>
            </w:r>
          </w:p>
        </w:tc>
        <w:tc>
          <w:tcPr>
            <w:tcW w:w="1096" w:type="dxa"/>
            <w:gridSpan w:val="2"/>
            <w:noWrap/>
            <w:vAlign w:val="center"/>
          </w:tcPr>
          <w:p w14:paraId="2ED78494" w14:textId="77777777" w:rsidR="00510DC0" w:rsidRPr="0060618B" w:rsidRDefault="00510DC0"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0.001*</w:t>
            </w:r>
          </w:p>
        </w:tc>
      </w:tr>
      <w:tr w:rsidR="00286A60" w:rsidRPr="0060618B" w14:paraId="58FCB88E" w14:textId="77777777" w:rsidTr="00786E87">
        <w:trPr>
          <w:trHeight w:val="20"/>
          <w:jc w:val="center"/>
        </w:trPr>
        <w:tc>
          <w:tcPr>
            <w:tcW w:w="1448" w:type="dxa"/>
            <w:vMerge w:val="restart"/>
            <w:vAlign w:val="center"/>
          </w:tcPr>
          <w:p w14:paraId="090B2110"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C-Reactive Protein</w:t>
            </w:r>
          </w:p>
        </w:tc>
        <w:tc>
          <w:tcPr>
            <w:tcW w:w="1085" w:type="dxa"/>
            <w:vAlign w:val="center"/>
          </w:tcPr>
          <w:p w14:paraId="0B0017B7"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Control</w:t>
            </w:r>
          </w:p>
        </w:tc>
        <w:tc>
          <w:tcPr>
            <w:tcW w:w="1170" w:type="dxa"/>
            <w:gridSpan w:val="2"/>
            <w:vAlign w:val="center"/>
          </w:tcPr>
          <w:p w14:paraId="1D9A841A"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Diabetic</w:t>
            </w:r>
          </w:p>
        </w:tc>
        <w:tc>
          <w:tcPr>
            <w:tcW w:w="1352" w:type="dxa"/>
            <w:noWrap/>
            <w:vAlign w:val="center"/>
          </w:tcPr>
          <w:p w14:paraId="4BCA8AE6"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hAnsi="Times New Roman" w:cs="Times New Roman"/>
              </w:rPr>
              <w:t>-5.0</w:t>
            </w:r>
          </w:p>
        </w:tc>
        <w:tc>
          <w:tcPr>
            <w:tcW w:w="1080" w:type="dxa"/>
            <w:gridSpan w:val="2"/>
            <w:noWrap/>
            <w:vAlign w:val="center"/>
          </w:tcPr>
          <w:p w14:paraId="343F6EE6"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hAnsi="Times New Roman" w:cs="Times New Roman"/>
              </w:rPr>
              <w:t>11.6</w:t>
            </w:r>
          </w:p>
        </w:tc>
        <w:tc>
          <w:tcPr>
            <w:tcW w:w="1080" w:type="dxa"/>
            <w:gridSpan w:val="3"/>
            <w:noWrap/>
            <w:vAlign w:val="center"/>
          </w:tcPr>
          <w:p w14:paraId="008E4321"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-32.5</w:t>
            </w:r>
          </w:p>
        </w:tc>
        <w:tc>
          <w:tcPr>
            <w:tcW w:w="1080" w:type="dxa"/>
            <w:gridSpan w:val="2"/>
            <w:noWrap/>
            <w:vAlign w:val="center"/>
          </w:tcPr>
          <w:p w14:paraId="6CB1E6BB"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22.5</w:t>
            </w:r>
          </w:p>
        </w:tc>
        <w:tc>
          <w:tcPr>
            <w:tcW w:w="1080" w:type="dxa"/>
            <w:gridSpan w:val="2"/>
            <w:noWrap/>
            <w:vAlign w:val="center"/>
          </w:tcPr>
          <w:p w14:paraId="7FED9868"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hAnsi="Times New Roman" w:cs="Times New Roman"/>
              </w:rPr>
              <w:t>0.903</w:t>
            </w:r>
          </w:p>
        </w:tc>
      </w:tr>
      <w:tr w:rsidR="00286A60" w:rsidRPr="0060618B" w14:paraId="3ACB4EC2" w14:textId="77777777" w:rsidTr="00786E87">
        <w:trPr>
          <w:trHeight w:val="20"/>
          <w:jc w:val="center"/>
        </w:trPr>
        <w:tc>
          <w:tcPr>
            <w:tcW w:w="1448" w:type="dxa"/>
            <w:vMerge/>
            <w:vAlign w:val="center"/>
          </w:tcPr>
          <w:p w14:paraId="7240F347" w14:textId="77777777" w:rsidR="006261BF" w:rsidRPr="0060618B" w:rsidRDefault="006261BF" w:rsidP="0060618B">
            <w:pPr>
              <w:spacing w:after="0" w:line="276" w:lineRule="auto"/>
              <w:jc w:val="both"/>
              <w:rPr>
                <w:rFonts w:ascii="Times New Roman" w:eastAsia="Times New Roman" w:hAnsi="Times New Roman" w:cs="Times New Roman"/>
              </w:rPr>
            </w:pPr>
          </w:p>
        </w:tc>
        <w:tc>
          <w:tcPr>
            <w:tcW w:w="1085" w:type="dxa"/>
            <w:vAlign w:val="center"/>
          </w:tcPr>
          <w:p w14:paraId="40C1E6E0"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Control</w:t>
            </w:r>
          </w:p>
        </w:tc>
        <w:tc>
          <w:tcPr>
            <w:tcW w:w="1170" w:type="dxa"/>
            <w:gridSpan w:val="2"/>
            <w:vAlign w:val="center"/>
          </w:tcPr>
          <w:p w14:paraId="69C2F16B"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DFUs</w:t>
            </w:r>
          </w:p>
        </w:tc>
        <w:tc>
          <w:tcPr>
            <w:tcW w:w="1352" w:type="dxa"/>
            <w:noWrap/>
            <w:vAlign w:val="center"/>
          </w:tcPr>
          <w:p w14:paraId="76B49219"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hAnsi="Times New Roman" w:cs="Times New Roman"/>
              </w:rPr>
              <w:t>-67.3</w:t>
            </w:r>
          </w:p>
        </w:tc>
        <w:tc>
          <w:tcPr>
            <w:tcW w:w="1080" w:type="dxa"/>
            <w:gridSpan w:val="2"/>
            <w:noWrap/>
            <w:vAlign w:val="center"/>
          </w:tcPr>
          <w:p w14:paraId="0855CF6F"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hAnsi="Times New Roman" w:cs="Times New Roman"/>
              </w:rPr>
              <w:t>11.6</w:t>
            </w:r>
          </w:p>
        </w:tc>
        <w:tc>
          <w:tcPr>
            <w:tcW w:w="1080" w:type="dxa"/>
            <w:gridSpan w:val="3"/>
            <w:noWrap/>
            <w:vAlign w:val="center"/>
          </w:tcPr>
          <w:p w14:paraId="5F037CA9"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-95.0</w:t>
            </w:r>
          </w:p>
        </w:tc>
        <w:tc>
          <w:tcPr>
            <w:tcW w:w="1080" w:type="dxa"/>
            <w:gridSpan w:val="2"/>
            <w:noWrap/>
            <w:vAlign w:val="center"/>
          </w:tcPr>
          <w:p w14:paraId="23D24719"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-39.6</w:t>
            </w:r>
          </w:p>
        </w:tc>
        <w:tc>
          <w:tcPr>
            <w:tcW w:w="1080" w:type="dxa"/>
            <w:gridSpan w:val="2"/>
            <w:noWrap/>
            <w:vAlign w:val="center"/>
          </w:tcPr>
          <w:p w14:paraId="54FE4C8B" w14:textId="77777777" w:rsidR="006261BF" w:rsidRPr="0060618B" w:rsidRDefault="006261BF" w:rsidP="00786E87">
            <w:pPr>
              <w:spacing w:after="0" w:line="276" w:lineRule="auto"/>
              <w:jc w:val="right"/>
              <w:rPr>
                <w:rFonts w:ascii="Times New Roman" w:hAnsi="Times New Roman" w:cs="Times New Roman"/>
              </w:rPr>
            </w:pPr>
            <w:r w:rsidRPr="0060618B">
              <w:rPr>
                <w:rFonts w:ascii="Times New Roman" w:eastAsia="Times New Roman" w:hAnsi="Times New Roman" w:cs="Times New Roman"/>
              </w:rPr>
              <w:t>0.001*</w:t>
            </w:r>
          </w:p>
        </w:tc>
      </w:tr>
      <w:tr w:rsidR="00286A60" w:rsidRPr="0060618B" w14:paraId="76AB20EB" w14:textId="77777777" w:rsidTr="00786E87">
        <w:trPr>
          <w:trHeight w:val="20"/>
          <w:jc w:val="center"/>
        </w:trPr>
        <w:tc>
          <w:tcPr>
            <w:tcW w:w="1448" w:type="dxa"/>
            <w:vMerge/>
            <w:vAlign w:val="center"/>
          </w:tcPr>
          <w:p w14:paraId="24992F49" w14:textId="77777777" w:rsidR="006261BF" w:rsidRPr="0060618B" w:rsidRDefault="006261BF" w:rsidP="0060618B">
            <w:pPr>
              <w:spacing w:after="0" w:line="276" w:lineRule="auto"/>
              <w:jc w:val="both"/>
              <w:rPr>
                <w:rFonts w:ascii="Times New Roman" w:eastAsia="Times New Roman" w:hAnsi="Times New Roman" w:cs="Times New Roman"/>
              </w:rPr>
            </w:pPr>
          </w:p>
        </w:tc>
        <w:tc>
          <w:tcPr>
            <w:tcW w:w="1085" w:type="dxa"/>
            <w:vAlign w:val="center"/>
          </w:tcPr>
          <w:p w14:paraId="23B7CFF3"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Diabetic</w:t>
            </w:r>
          </w:p>
        </w:tc>
        <w:tc>
          <w:tcPr>
            <w:tcW w:w="1170" w:type="dxa"/>
            <w:gridSpan w:val="2"/>
            <w:vAlign w:val="center"/>
          </w:tcPr>
          <w:p w14:paraId="5DB15B3E"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DFUs</w:t>
            </w:r>
          </w:p>
        </w:tc>
        <w:tc>
          <w:tcPr>
            <w:tcW w:w="1352" w:type="dxa"/>
            <w:noWrap/>
            <w:vAlign w:val="center"/>
          </w:tcPr>
          <w:p w14:paraId="78063BAD"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-62.3</w:t>
            </w:r>
            <w:r w:rsidRPr="0060618B">
              <w:rPr>
                <w:rFonts w:ascii="Times New Roman" w:hAnsi="Times New Roman" w:cs="Times New Roman"/>
                <w:vertAlign w:val="superscript"/>
              </w:rPr>
              <w:t>*</w:t>
            </w:r>
          </w:p>
        </w:tc>
        <w:tc>
          <w:tcPr>
            <w:tcW w:w="1080" w:type="dxa"/>
            <w:gridSpan w:val="2"/>
            <w:noWrap/>
            <w:vAlign w:val="center"/>
          </w:tcPr>
          <w:p w14:paraId="222C5A1B"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11.6</w:t>
            </w:r>
          </w:p>
        </w:tc>
        <w:tc>
          <w:tcPr>
            <w:tcW w:w="1080" w:type="dxa"/>
            <w:gridSpan w:val="3"/>
            <w:noWrap/>
            <w:vAlign w:val="center"/>
          </w:tcPr>
          <w:p w14:paraId="1A8973D6"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-90.0</w:t>
            </w:r>
          </w:p>
        </w:tc>
        <w:tc>
          <w:tcPr>
            <w:tcW w:w="1080" w:type="dxa"/>
            <w:gridSpan w:val="2"/>
            <w:noWrap/>
            <w:vAlign w:val="center"/>
          </w:tcPr>
          <w:p w14:paraId="262D8ACC"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-34.6</w:t>
            </w:r>
          </w:p>
        </w:tc>
        <w:tc>
          <w:tcPr>
            <w:tcW w:w="1080" w:type="dxa"/>
            <w:gridSpan w:val="2"/>
            <w:noWrap/>
            <w:vAlign w:val="center"/>
          </w:tcPr>
          <w:p w14:paraId="3C327479" w14:textId="77777777" w:rsidR="006261BF" w:rsidRPr="0060618B" w:rsidRDefault="006261BF" w:rsidP="00786E87">
            <w:pPr>
              <w:spacing w:after="0" w:line="276" w:lineRule="auto"/>
              <w:jc w:val="right"/>
              <w:rPr>
                <w:rFonts w:ascii="Times New Roman" w:hAnsi="Times New Roman" w:cs="Times New Roman"/>
              </w:rPr>
            </w:pPr>
            <w:r w:rsidRPr="0060618B">
              <w:rPr>
                <w:rFonts w:ascii="Times New Roman" w:eastAsia="Times New Roman" w:hAnsi="Times New Roman" w:cs="Times New Roman"/>
              </w:rPr>
              <w:t>0.001*</w:t>
            </w:r>
          </w:p>
        </w:tc>
      </w:tr>
      <w:tr w:rsidR="00286A60" w:rsidRPr="0060618B" w14:paraId="4242A357" w14:textId="77777777" w:rsidTr="00786E87">
        <w:trPr>
          <w:trHeight w:val="20"/>
          <w:jc w:val="center"/>
        </w:trPr>
        <w:tc>
          <w:tcPr>
            <w:tcW w:w="1448" w:type="dxa"/>
            <w:vMerge w:val="restart"/>
            <w:vAlign w:val="center"/>
          </w:tcPr>
          <w:p w14:paraId="1E1AC4D8"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Superoxide Dismutase</w:t>
            </w:r>
          </w:p>
        </w:tc>
        <w:tc>
          <w:tcPr>
            <w:tcW w:w="1085" w:type="dxa"/>
            <w:vAlign w:val="center"/>
          </w:tcPr>
          <w:p w14:paraId="03FE547C"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Control</w:t>
            </w:r>
          </w:p>
        </w:tc>
        <w:tc>
          <w:tcPr>
            <w:tcW w:w="1170" w:type="dxa"/>
            <w:gridSpan w:val="2"/>
            <w:vAlign w:val="center"/>
          </w:tcPr>
          <w:p w14:paraId="4EFBCD7F"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Diabetic</w:t>
            </w:r>
          </w:p>
        </w:tc>
        <w:tc>
          <w:tcPr>
            <w:tcW w:w="1352" w:type="dxa"/>
            <w:noWrap/>
            <w:vAlign w:val="center"/>
          </w:tcPr>
          <w:p w14:paraId="2D0760AC"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64.7</w:t>
            </w:r>
            <w:r w:rsidRPr="0060618B">
              <w:rPr>
                <w:rFonts w:ascii="Times New Roman" w:hAnsi="Times New Roman" w:cs="Times New Roman"/>
                <w:vertAlign w:val="superscript"/>
              </w:rPr>
              <w:t>*</w:t>
            </w:r>
          </w:p>
        </w:tc>
        <w:tc>
          <w:tcPr>
            <w:tcW w:w="1080" w:type="dxa"/>
            <w:gridSpan w:val="2"/>
            <w:noWrap/>
            <w:vAlign w:val="center"/>
          </w:tcPr>
          <w:p w14:paraId="0F1470AB"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5.6</w:t>
            </w:r>
          </w:p>
        </w:tc>
        <w:tc>
          <w:tcPr>
            <w:tcW w:w="1080" w:type="dxa"/>
            <w:gridSpan w:val="3"/>
            <w:noWrap/>
            <w:vAlign w:val="center"/>
          </w:tcPr>
          <w:p w14:paraId="1E32FCDB"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51.3</w:t>
            </w:r>
          </w:p>
        </w:tc>
        <w:tc>
          <w:tcPr>
            <w:tcW w:w="1080" w:type="dxa"/>
            <w:gridSpan w:val="2"/>
            <w:noWrap/>
            <w:vAlign w:val="center"/>
          </w:tcPr>
          <w:p w14:paraId="251B21E5"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78.2</w:t>
            </w:r>
          </w:p>
        </w:tc>
        <w:tc>
          <w:tcPr>
            <w:tcW w:w="1080" w:type="dxa"/>
            <w:gridSpan w:val="2"/>
            <w:noWrap/>
            <w:vAlign w:val="center"/>
          </w:tcPr>
          <w:p w14:paraId="1CF01AD8" w14:textId="77777777" w:rsidR="006261BF" w:rsidRPr="0060618B" w:rsidRDefault="006261BF" w:rsidP="00786E87">
            <w:pPr>
              <w:spacing w:after="0" w:line="276" w:lineRule="auto"/>
              <w:jc w:val="right"/>
              <w:rPr>
                <w:rFonts w:ascii="Times New Roman" w:hAnsi="Times New Roman" w:cs="Times New Roman"/>
              </w:rPr>
            </w:pPr>
            <w:r w:rsidRPr="0060618B">
              <w:rPr>
                <w:rFonts w:ascii="Times New Roman" w:eastAsia="Times New Roman" w:hAnsi="Times New Roman" w:cs="Times New Roman"/>
              </w:rPr>
              <w:t>0.001*</w:t>
            </w:r>
          </w:p>
        </w:tc>
      </w:tr>
      <w:tr w:rsidR="00286A60" w:rsidRPr="0060618B" w14:paraId="3DE26D3D" w14:textId="77777777" w:rsidTr="00786E87">
        <w:trPr>
          <w:trHeight w:val="20"/>
          <w:jc w:val="center"/>
        </w:trPr>
        <w:tc>
          <w:tcPr>
            <w:tcW w:w="1448" w:type="dxa"/>
            <w:vMerge/>
            <w:vAlign w:val="center"/>
          </w:tcPr>
          <w:p w14:paraId="11811667" w14:textId="77777777" w:rsidR="006261BF" w:rsidRPr="0060618B" w:rsidRDefault="006261BF" w:rsidP="0060618B">
            <w:pPr>
              <w:spacing w:after="0" w:line="276" w:lineRule="auto"/>
              <w:jc w:val="both"/>
              <w:rPr>
                <w:rFonts w:ascii="Times New Roman" w:eastAsia="Times New Roman" w:hAnsi="Times New Roman" w:cs="Times New Roman"/>
              </w:rPr>
            </w:pPr>
          </w:p>
        </w:tc>
        <w:tc>
          <w:tcPr>
            <w:tcW w:w="1085" w:type="dxa"/>
            <w:vAlign w:val="center"/>
          </w:tcPr>
          <w:p w14:paraId="20452012"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Control</w:t>
            </w:r>
          </w:p>
        </w:tc>
        <w:tc>
          <w:tcPr>
            <w:tcW w:w="1170" w:type="dxa"/>
            <w:gridSpan w:val="2"/>
            <w:vAlign w:val="center"/>
          </w:tcPr>
          <w:p w14:paraId="16EC244A"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DFUs</w:t>
            </w:r>
          </w:p>
        </w:tc>
        <w:tc>
          <w:tcPr>
            <w:tcW w:w="1352" w:type="dxa"/>
            <w:noWrap/>
            <w:vAlign w:val="center"/>
          </w:tcPr>
          <w:p w14:paraId="7C38E4E0"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98.5</w:t>
            </w:r>
            <w:r w:rsidRPr="0060618B">
              <w:rPr>
                <w:rFonts w:ascii="Times New Roman" w:hAnsi="Times New Roman" w:cs="Times New Roman"/>
                <w:vertAlign w:val="superscript"/>
              </w:rPr>
              <w:t>*</w:t>
            </w:r>
          </w:p>
        </w:tc>
        <w:tc>
          <w:tcPr>
            <w:tcW w:w="1080" w:type="dxa"/>
            <w:gridSpan w:val="2"/>
            <w:noWrap/>
            <w:vAlign w:val="center"/>
          </w:tcPr>
          <w:p w14:paraId="2DB155D8"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5.6</w:t>
            </w:r>
          </w:p>
        </w:tc>
        <w:tc>
          <w:tcPr>
            <w:tcW w:w="1080" w:type="dxa"/>
            <w:gridSpan w:val="3"/>
            <w:noWrap/>
            <w:vAlign w:val="center"/>
          </w:tcPr>
          <w:p w14:paraId="07370BAD"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85.1</w:t>
            </w:r>
          </w:p>
        </w:tc>
        <w:tc>
          <w:tcPr>
            <w:tcW w:w="1080" w:type="dxa"/>
            <w:gridSpan w:val="2"/>
            <w:noWrap/>
            <w:vAlign w:val="center"/>
          </w:tcPr>
          <w:p w14:paraId="65C794E8"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112.0</w:t>
            </w:r>
          </w:p>
        </w:tc>
        <w:tc>
          <w:tcPr>
            <w:tcW w:w="1080" w:type="dxa"/>
            <w:gridSpan w:val="2"/>
            <w:noWrap/>
            <w:vAlign w:val="center"/>
          </w:tcPr>
          <w:p w14:paraId="34A876CD" w14:textId="77777777" w:rsidR="006261BF" w:rsidRPr="0060618B" w:rsidRDefault="006261BF" w:rsidP="00786E87">
            <w:pPr>
              <w:spacing w:after="0" w:line="276" w:lineRule="auto"/>
              <w:jc w:val="right"/>
              <w:rPr>
                <w:rFonts w:ascii="Times New Roman" w:hAnsi="Times New Roman" w:cs="Times New Roman"/>
              </w:rPr>
            </w:pPr>
            <w:r w:rsidRPr="0060618B">
              <w:rPr>
                <w:rFonts w:ascii="Times New Roman" w:eastAsia="Times New Roman" w:hAnsi="Times New Roman" w:cs="Times New Roman"/>
              </w:rPr>
              <w:t>0.001*</w:t>
            </w:r>
          </w:p>
        </w:tc>
      </w:tr>
      <w:tr w:rsidR="00286A60" w:rsidRPr="0060618B" w14:paraId="7B54285B" w14:textId="77777777" w:rsidTr="00786E87">
        <w:trPr>
          <w:trHeight w:val="20"/>
          <w:jc w:val="center"/>
        </w:trPr>
        <w:tc>
          <w:tcPr>
            <w:tcW w:w="1448" w:type="dxa"/>
            <w:vMerge/>
            <w:vAlign w:val="center"/>
          </w:tcPr>
          <w:p w14:paraId="3285A40A" w14:textId="77777777" w:rsidR="006261BF" w:rsidRPr="0060618B" w:rsidRDefault="006261BF" w:rsidP="0060618B">
            <w:pPr>
              <w:spacing w:after="0" w:line="276" w:lineRule="auto"/>
              <w:jc w:val="both"/>
              <w:rPr>
                <w:rFonts w:ascii="Times New Roman" w:eastAsia="Times New Roman" w:hAnsi="Times New Roman" w:cs="Times New Roman"/>
              </w:rPr>
            </w:pPr>
          </w:p>
        </w:tc>
        <w:tc>
          <w:tcPr>
            <w:tcW w:w="1085" w:type="dxa"/>
            <w:vAlign w:val="center"/>
          </w:tcPr>
          <w:p w14:paraId="4BF2D62B"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Diabetic</w:t>
            </w:r>
          </w:p>
        </w:tc>
        <w:tc>
          <w:tcPr>
            <w:tcW w:w="1170" w:type="dxa"/>
            <w:gridSpan w:val="2"/>
            <w:vAlign w:val="center"/>
          </w:tcPr>
          <w:p w14:paraId="3E0F14DA"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DFUs</w:t>
            </w:r>
          </w:p>
        </w:tc>
        <w:tc>
          <w:tcPr>
            <w:tcW w:w="1352" w:type="dxa"/>
            <w:noWrap/>
            <w:vAlign w:val="center"/>
          </w:tcPr>
          <w:p w14:paraId="639FB1E1"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33.7</w:t>
            </w:r>
            <w:r w:rsidRPr="0060618B">
              <w:rPr>
                <w:rFonts w:ascii="Times New Roman" w:hAnsi="Times New Roman" w:cs="Times New Roman"/>
                <w:vertAlign w:val="superscript"/>
              </w:rPr>
              <w:t>*</w:t>
            </w:r>
          </w:p>
        </w:tc>
        <w:tc>
          <w:tcPr>
            <w:tcW w:w="1080" w:type="dxa"/>
            <w:gridSpan w:val="2"/>
            <w:noWrap/>
            <w:vAlign w:val="center"/>
          </w:tcPr>
          <w:p w14:paraId="0077F7E8"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5.6</w:t>
            </w:r>
          </w:p>
        </w:tc>
        <w:tc>
          <w:tcPr>
            <w:tcW w:w="1080" w:type="dxa"/>
            <w:gridSpan w:val="3"/>
            <w:noWrap/>
            <w:vAlign w:val="center"/>
          </w:tcPr>
          <w:p w14:paraId="156E39BA"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20.3</w:t>
            </w:r>
          </w:p>
        </w:tc>
        <w:tc>
          <w:tcPr>
            <w:tcW w:w="1080" w:type="dxa"/>
            <w:gridSpan w:val="2"/>
            <w:noWrap/>
            <w:vAlign w:val="center"/>
          </w:tcPr>
          <w:p w14:paraId="40A9621F"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47.2</w:t>
            </w:r>
          </w:p>
        </w:tc>
        <w:tc>
          <w:tcPr>
            <w:tcW w:w="1080" w:type="dxa"/>
            <w:gridSpan w:val="2"/>
            <w:noWrap/>
            <w:vAlign w:val="center"/>
          </w:tcPr>
          <w:p w14:paraId="3D262487" w14:textId="77777777" w:rsidR="006261BF" w:rsidRPr="0060618B" w:rsidRDefault="006261BF" w:rsidP="00786E87">
            <w:pPr>
              <w:spacing w:after="0" w:line="276" w:lineRule="auto"/>
              <w:jc w:val="right"/>
              <w:rPr>
                <w:rFonts w:ascii="Times New Roman" w:hAnsi="Times New Roman" w:cs="Times New Roman"/>
              </w:rPr>
            </w:pPr>
            <w:r w:rsidRPr="0060618B">
              <w:rPr>
                <w:rFonts w:ascii="Times New Roman" w:eastAsia="Times New Roman" w:hAnsi="Times New Roman" w:cs="Times New Roman"/>
              </w:rPr>
              <w:t>0.001*</w:t>
            </w:r>
          </w:p>
        </w:tc>
      </w:tr>
      <w:tr w:rsidR="00286A60" w:rsidRPr="0060618B" w14:paraId="6BBF909F" w14:textId="77777777" w:rsidTr="00786E87">
        <w:trPr>
          <w:trHeight w:val="20"/>
          <w:jc w:val="center"/>
        </w:trPr>
        <w:tc>
          <w:tcPr>
            <w:tcW w:w="1448" w:type="dxa"/>
            <w:vMerge w:val="restart"/>
            <w:vAlign w:val="center"/>
          </w:tcPr>
          <w:p w14:paraId="669D18AD"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White blood cells/TLC</w:t>
            </w:r>
          </w:p>
        </w:tc>
        <w:tc>
          <w:tcPr>
            <w:tcW w:w="1085" w:type="dxa"/>
            <w:vAlign w:val="center"/>
          </w:tcPr>
          <w:p w14:paraId="33C89B29"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Control</w:t>
            </w:r>
          </w:p>
        </w:tc>
        <w:tc>
          <w:tcPr>
            <w:tcW w:w="1170" w:type="dxa"/>
            <w:gridSpan w:val="2"/>
            <w:vAlign w:val="center"/>
          </w:tcPr>
          <w:p w14:paraId="31F54677"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Diabetic</w:t>
            </w:r>
          </w:p>
        </w:tc>
        <w:tc>
          <w:tcPr>
            <w:tcW w:w="1352" w:type="dxa"/>
            <w:noWrap/>
            <w:vAlign w:val="center"/>
          </w:tcPr>
          <w:p w14:paraId="299D2384"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-2.7</w:t>
            </w:r>
          </w:p>
        </w:tc>
        <w:tc>
          <w:tcPr>
            <w:tcW w:w="1080" w:type="dxa"/>
            <w:gridSpan w:val="2"/>
            <w:noWrap/>
            <w:vAlign w:val="center"/>
          </w:tcPr>
          <w:p w14:paraId="0C684218"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1.5</w:t>
            </w:r>
          </w:p>
        </w:tc>
        <w:tc>
          <w:tcPr>
            <w:tcW w:w="1080" w:type="dxa"/>
            <w:gridSpan w:val="3"/>
            <w:noWrap/>
            <w:vAlign w:val="center"/>
          </w:tcPr>
          <w:p w14:paraId="16BC3C9B"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-6.4</w:t>
            </w:r>
          </w:p>
        </w:tc>
        <w:tc>
          <w:tcPr>
            <w:tcW w:w="1080" w:type="dxa"/>
            <w:gridSpan w:val="2"/>
            <w:noWrap/>
            <w:vAlign w:val="center"/>
          </w:tcPr>
          <w:p w14:paraId="4E6DCE64"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0.9</w:t>
            </w:r>
          </w:p>
        </w:tc>
        <w:tc>
          <w:tcPr>
            <w:tcW w:w="1080" w:type="dxa"/>
            <w:gridSpan w:val="2"/>
            <w:noWrap/>
            <w:vAlign w:val="center"/>
          </w:tcPr>
          <w:p w14:paraId="6593A220"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hAnsi="Times New Roman" w:cs="Times New Roman"/>
              </w:rPr>
              <w:t>0.186</w:t>
            </w:r>
          </w:p>
        </w:tc>
      </w:tr>
      <w:tr w:rsidR="00286A60" w:rsidRPr="0060618B" w14:paraId="6F5E8F50" w14:textId="77777777" w:rsidTr="00786E87">
        <w:trPr>
          <w:trHeight w:val="20"/>
          <w:jc w:val="center"/>
        </w:trPr>
        <w:tc>
          <w:tcPr>
            <w:tcW w:w="1448" w:type="dxa"/>
            <w:vMerge/>
            <w:vAlign w:val="center"/>
          </w:tcPr>
          <w:p w14:paraId="2F1C0C4A" w14:textId="77777777" w:rsidR="006261BF" w:rsidRPr="0060618B" w:rsidRDefault="006261BF" w:rsidP="0060618B">
            <w:pPr>
              <w:spacing w:after="0" w:line="276" w:lineRule="auto"/>
              <w:jc w:val="both"/>
              <w:rPr>
                <w:rFonts w:ascii="Times New Roman" w:eastAsia="Times New Roman" w:hAnsi="Times New Roman" w:cs="Times New Roman"/>
              </w:rPr>
            </w:pPr>
          </w:p>
        </w:tc>
        <w:tc>
          <w:tcPr>
            <w:tcW w:w="1085" w:type="dxa"/>
            <w:vAlign w:val="center"/>
          </w:tcPr>
          <w:p w14:paraId="62103558"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Control</w:t>
            </w:r>
          </w:p>
        </w:tc>
        <w:tc>
          <w:tcPr>
            <w:tcW w:w="1170" w:type="dxa"/>
            <w:gridSpan w:val="2"/>
            <w:vAlign w:val="center"/>
          </w:tcPr>
          <w:p w14:paraId="22DB4F3B"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DFUs</w:t>
            </w:r>
          </w:p>
        </w:tc>
        <w:tc>
          <w:tcPr>
            <w:tcW w:w="1352" w:type="dxa"/>
            <w:noWrap/>
            <w:vAlign w:val="center"/>
          </w:tcPr>
          <w:p w14:paraId="527B513D"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-4.1</w:t>
            </w:r>
            <w:r w:rsidRPr="0060618B">
              <w:rPr>
                <w:rFonts w:ascii="Times New Roman" w:hAnsi="Times New Roman" w:cs="Times New Roman"/>
                <w:vertAlign w:val="superscript"/>
              </w:rPr>
              <w:t>*</w:t>
            </w:r>
          </w:p>
        </w:tc>
        <w:tc>
          <w:tcPr>
            <w:tcW w:w="1080" w:type="dxa"/>
            <w:gridSpan w:val="2"/>
            <w:noWrap/>
            <w:vAlign w:val="center"/>
          </w:tcPr>
          <w:p w14:paraId="5FE883F3"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1.5</w:t>
            </w:r>
          </w:p>
        </w:tc>
        <w:tc>
          <w:tcPr>
            <w:tcW w:w="1080" w:type="dxa"/>
            <w:gridSpan w:val="3"/>
            <w:noWrap/>
            <w:vAlign w:val="center"/>
          </w:tcPr>
          <w:p w14:paraId="761AE59A"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-7.8</w:t>
            </w:r>
          </w:p>
        </w:tc>
        <w:tc>
          <w:tcPr>
            <w:tcW w:w="1080" w:type="dxa"/>
            <w:gridSpan w:val="2"/>
            <w:noWrap/>
            <w:vAlign w:val="center"/>
          </w:tcPr>
          <w:p w14:paraId="00E74D78"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-0.4</w:t>
            </w:r>
          </w:p>
        </w:tc>
        <w:tc>
          <w:tcPr>
            <w:tcW w:w="1080" w:type="dxa"/>
            <w:gridSpan w:val="2"/>
            <w:noWrap/>
            <w:vAlign w:val="center"/>
          </w:tcPr>
          <w:p w14:paraId="4493A645"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hAnsi="Times New Roman" w:cs="Times New Roman"/>
              </w:rPr>
              <w:t>0.025</w:t>
            </w:r>
          </w:p>
        </w:tc>
      </w:tr>
      <w:tr w:rsidR="00286A60" w:rsidRPr="0060618B" w14:paraId="358712E1" w14:textId="77777777" w:rsidTr="00786E87">
        <w:trPr>
          <w:trHeight w:val="20"/>
          <w:jc w:val="center"/>
        </w:trPr>
        <w:tc>
          <w:tcPr>
            <w:tcW w:w="1448" w:type="dxa"/>
            <w:vMerge/>
            <w:vAlign w:val="center"/>
          </w:tcPr>
          <w:p w14:paraId="19ACEB19" w14:textId="77777777" w:rsidR="006261BF" w:rsidRPr="0060618B" w:rsidRDefault="006261BF" w:rsidP="0060618B">
            <w:pPr>
              <w:spacing w:after="0" w:line="276" w:lineRule="auto"/>
              <w:jc w:val="both"/>
              <w:rPr>
                <w:rFonts w:ascii="Times New Roman" w:eastAsia="Times New Roman" w:hAnsi="Times New Roman" w:cs="Times New Roman"/>
              </w:rPr>
            </w:pPr>
          </w:p>
        </w:tc>
        <w:tc>
          <w:tcPr>
            <w:tcW w:w="1085" w:type="dxa"/>
            <w:vAlign w:val="center"/>
          </w:tcPr>
          <w:p w14:paraId="19C3DB73"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Diabetic</w:t>
            </w:r>
          </w:p>
        </w:tc>
        <w:tc>
          <w:tcPr>
            <w:tcW w:w="1170" w:type="dxa"/>
            <w:gridSpan w:val="2"/>
            <w:vAlign w:val="center"/>
          </w:tcPr>
          <w:p w14:paraId="09C69B8E"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DFUs</w:t>
            </w:r>
          </w:p>
        </w:tc>
        <w:tc>
          <w:tcPr>
            <w:tcW w:w="1352" w:type="dxa"/>
            <w:noWrap/>
            <w:vAlign w:val="center"/>
          </w:tcPr>
          <w:p w14:paraId="234A42B9"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-1.3</w:t>
            </w:r>
          </w:p>
        </w:tc>
        <w:tc>
          <w:tcPr>
            <w:tcW w:w="1080" w:type="dxa"/>
            <w:gridSpan w:val="2"/>
            <w:noWrap/>
            <w:vAlign w:val="center"/>
          </w:tcPr>
          <w:p w14:paraId="72EE6628"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1.5</w:t>
            </w:r>
          </w:p>
        </w:tc>
        <w:tc>
          <w:tcPr>
            <w:tcW w:w="1080" w:type="dxa"/>
            <w:gridSpan w:val="3"/>
            <w:noWrap/>
            <w:vAlign w:val="center"/>
          </w:tcPr>
          <w:p w14:paraId="3ED1FA27"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-5.0</w:t>
            </w:r>
          </w:p>
        </w:tc>
        <w:tc>
          <w:tcPr>
            <w:tcW w:w="1080" w:type="dxa"/>
            <w:gridSpan w:val="2"/>
            <w:noWrap/>
            <w:vAlign w:val="center"/>
          </w:tcPr>
          <w:p w14:paraId="18767A1F"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2.2</w:t>
            </w:r>
          </w:p>
        </w:tc>
        <w:tc>
          <w:tcPr>
            <w:tcW w:w="1080" w:type="dxa"/>
            <w:gridSpan w:val="2"/>
            <w:noWrap/>
            <w:vAlign w:val="center"/>
          </w:tcPr>
          <w:p w14:paraId="1437A379"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hAnsi="Times New Roman" w:cs="Times New Roman"/>
              </w:rPr>
              <w:t>0.643</w:t>
            </w:r>
          </w:p>
        </w:tc>
      </w:tr>
      <w:tr w:rsidR="00286A60" w:rsidRPr="0060618B" w14:paraId="25EDD722" w14:textId="77777777" w:rsidTr="00786E87">
        <w:trPr>
          <w:trHeight w:val="20"/>
          <w:jc w:val="center"/>
        </w:trPr>
        <w:tc>
          <w:tcPr>
            <w:tcW w:w="1448" w:type="dxa"/>
            <w:vMerge w:val="restart"/>
            <w:vAlign w:val="center"/>
          </w:tcPr>
          <w:p w14:paraId="19EC04E0"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Neutrophils Count %</w:t>
            </w:r>
          </w:p>
        </w:tc>
        <w:tc>
          <w:tcPr>
            <w:tcW w:w="1085" w:type="dxa"/>
            <w:vAlign w:val="center"/>
          </w:tcPr>
          <w:p w14:paraId="0E83D5A0"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Control</w:t>
            </w:r>
          </w:p>
        </w:tc>
        <w:tc>
          <w:tcPr>
            <w:tcW w:w="1170" w:type="dxa"/>
            <w:gridSpan w:val="2"/>
            <w:vAlign w:val="center"/>
          </w:tcPr>
          <w:p w14:paraId="72A72334"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Diabetic</w:t>
            </w:r>
          </w:p>
        </w:tc>
        <w:tc>
          <w:tcPr>
            <w:tcW w:w="1352" w:type="dxa"/>
            <w:noWrap/>
            <w:vAlign w:val="center"/>
          </w:tcPr>
          <w:p w14:paraId="10FE780E"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-0.73</w:t>
            </w:r>
          </w:p>
        </w:tc>
        <w:tc>
          <w:tcPr>
            <w:tcW w:w="1080" w:type="dxa"/>
            <w:gridSpan w:val="2"/>
            <w:noWrap/>
            <w:vAlign w:val="center"/>
          </w:tcPr>
          <w:p w14:paraId="0D5075CC"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1.9</w:t>
            </w:r>
          </w:p>
        </w:tc>
        <w:tc>
          <w:tcPr>
            <w:tcW w:w="1080" w:type="dxa"/>
            <w:gridSpan w:val="3"/>
            <w:noWrap/>
            <w:vAlign w:val="center"/>
          </w:tcPr>
          <w:p w14:paraId="62C3DC3D"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-5.4</w:t>
            </w:r>
          </w:p>
        </w:tc>
        <w:tc>
          <w:tcPr>
            <w:tcW w:w="1080" w:type="dxa"/>
            <w:gridSpan w:val="2"/>
            <w:noWrap/>
            <w:vAlign w:val="center"/>
          </w:tcPr>
          <w:p w14:paraId="0EE4F4CB"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3.9</w:t>
            </w:r>
          </w:p>
        </w:tc>
        <w:tc>
          <w:tcPr>
            <w:tcW w:w="1080" w:type="dxa"/>
            <w:gridSpan w:val="2"/>
            <w:noWrap/>
            <w:vAlign w:val="center"/>
          </w:tcPr>
          <w:p w14:paraId="008FC10E"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hAnsi="Times New Roman" w:cs="Times New Roman"/>
              </w:rPr>
              <w:t>0.927</w:t>
            </w:r>
          </w:p>
        </w:tc>
      </w:tr>
      <w:tr w:rsidR="00286A60" w:rsidRPr="0060618B" w14:paraId="63A37147" w14:textId="77777777" w:rsidTr="00786E87">
        <w:trPr>
          <w:trHeight w:val="20"/>
          <w:jc w:val="center"/>
        </w:trPr>
        <w:tc>
          <w:tcPr>
            <w:tcW w:w="1448" w:type="dxa"/>
            <w:vMerge/>
            <w:vAlign w:val="center"/>
          </w:tcPr>
          <w:p w14:paraId="3062EACD" w14:textId="77777777" w:rsidR="006261BF" w:rsidRPr="0060618B" w:rsidRDefault="006261BF" w:rsidP="0060618B">
            <w:pPr>
              <w:spacing w:after="0" w:line="276" w:lineRule="auto"/>
              <w:jc w:val="both"/>
              <w:rPr>
                <w:rFonts w:ascii="Times New Roman" w:eastAsia="Times New Roman" w:hAnsi="Times New Roman" w:cs="Times New Roman"/>
              </w:rPr>
            </w:pPr>
          </w:p>
        </w:tc>
        <w:tc>
          <w:tcPr>
            <w:tcW w:w="1085" w:type="dxa"/>
            <w:vAlign w:val="center"/>
          </w:tcPr>
          <w:p w14:paraId="5DD68955"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Control</w:t>
            </w:r>
          </w:p>
        </w:tc>
        <w:tc>
          <w:tcPr>
            <w:tcW w:w="1170" w:type="dxa"/>
            <w:gridSpan w:val="2"/>
            <w:vAlign w:val="center"/>
          </w:tcPr>
          <w:p w14:paraId="0A5F75AF"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DFUs</w:t>
            </w:r>
          </w:p>
        </w:tc>
        <w:tc>
          <w:tcPr>
            <w:tcW w:w="1352" w:type="dxa"/>
            <w:noWrap/>
            <w:vAlign w:val="center"/>
          </w:tcPr>
          <w:p w14:paraId="0B3276AC"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-7.5</w:t>
            </w:r>
            <w:r w:rsidRPr="0060618B">
              <w:rPr>
                <w:rFonts w:ascii="Times New Roman" w:hAnsi="Times New Roman" w:cs="Times New Roman"/>
                <w:vertAlign w:val="superscript"/>
              </w:rPr>
              <w:t>*</w:t>
            </w:r>
          </w:p>
        </w:tc>
        <w:tc>
          <w:tcPr>
            <w:tcW w:w="1080" w:type="dxa"/>
            <w:gridSpan w:val="2"/>
            <w:noWrap/>
            <w:vAlign w:val="center"/>
          </w:tcPr>
          <w:p w14:paraId="29FF4B86"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2.0</w:t>
            </w:r>
          </w:p>
        </w:tc>
        <w:tc>
          <w:tcPr>
            <w:tcW w:w="1080" w:type="dxa"/>
            <w:gridSpan w:val="3"/>
            <w:noWrap/>
            <w:vAlign w:val="center"/>
          </w:tcPr>
          <w:p w14:paraId="42011F82"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-12.2</w:t>
            </w:r>
          </w:p>
        </w:tc>
        <w:tc>
          <w:tcPr>
            <w:tcW w:w="1080" w:type="dxa"/>
            <w:gridSpan w:val="2"/>
            <w:noWrap/>
            <w:vAlign w:val="center"/>
          </w:tcPr>
          <w:p w14:paraId="4022912C"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-2.7</w:t>
            </w:r>
          </w:p>
        </w:tc>
        <w:tc>
          <w:tcPr>
            <w:tcW w:w="1080" w:type="dxa"/>
            <w:gridSpan w:val="2"/>
            <w:noWrap/>
            <w:vAlign w:val="center"/>
          </w:tcPr>
          <w:p w14:paraId="092821C0"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0.001*</w:t>
            </w:r>
          </w:p>
        </w:tc>
      </w:tr>
      <w:tr w:rsidR="00286A60" w:rsidRPr="0060618B" w14:paraId="4E74C79E" w14:textId="77777777" w:rsidTr="00786E87">
        <w:trPr>
          <w:trHeight w:val="20"/>
          <w:jc w:val="center"/>
        </w:trPr>
        <w:tc>
          <w:tcPr>
            <w:tcW w:w="1448" w:type="dxa"/>
            <w:vMerge/>
            <w:vAlign w:val="center"/>
          </w:tcPr>
          <w:p w14:paraId="103DA948" w14:textId="77777777" w:rsidR="006261BF" w:rsidRPr="0060618B" w:rsidRDefault="006261BF" w:rsidP="0060618B">
            <w:pPr>
              <w:spacing w:after="0" w:line="276" w:lineRule="auto"/>
              <w:jc w:val="both"/>
              <w:rPr>
                <w:rFonts w:ascii="Times New Roman" w:eastAsia="Times New Roman" w:hAnsi="Times New Roman" w:cs="Times New Roman"/>
              </w:rPr>
            </w:pPr>
          </w:p>
        </w:tc>
        <w:tc>
          <w:tcPr>
            <w:tcW w:w="1085" w:type="dxa"/>
            <w:vAlign w:val="center"/>
          </w:tcPr>
          <w:p w14:paraId="2893E5A2"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Diabetic</w:t>
            </w:r>
          </w:p>
        </w:tc>
        <w:tc>
          <w:tcPr>
            <w:tcW w:w="1170" w:type="dxa"/>
            <w:gridSpan w:val="2"/>
            <w:vAlign w:val="center"/>
          </w:tcPr>
          <w:p w14:paraId="4CDD2D5A"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DFUs</w:t>
            </w:r>
          </w:p>
        </w:tc>
        <w:tc>
          <w:tcPr>
            <w:tcW w:w="1352" w:type="dxa"/>
            <w:noWrap/>
            <w:vAlign w:val="center"/>
          </w:tcPr>
          <w:p w14:paraId="5C21A3B2"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-6.7</w:t>
            </w:r>
            <w:r w:rsidRPr="0060618B">
              <w:rPr>
                <w:rFonts w:ascii="Times New Roman" w:hAnsi="Times New Roman" w:cs="Times New Roman"/>
                <w:vertAlign w:val="superscript"/>
              </w:rPr>
              <w:t>*</w:t>
            </w:r>
          </w:p>
        </w:tc>
        <w:tc>
          <w:tcPr>
            <w:tcW w:w="1080" w:type="dxa"/>
            <w:gridSpan w:val="2"/>
            <w:noWrap/>
            <w:vAlign w:val="center"/>
          </w:tcPr>
          <w:p w14:paraId="1191C0E1"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1.9</w:t>
            </w:r>
          </w:p>
        </w:tc>
        <w:tc>
          <w:tcPr>
            <w:tcW w:w="1080" w:type="dxa"/>
            <w:gridSpan w:val="3"/>
            <w:noWrap/>
            <w:vAlign w:val="center"/>
          </w:tcPr>
          <w:p w14:paraId="1FA129B8"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-11.5</w:t>
            </w:r>
          </w:p>
        </w:tc>
        <w:tc>
          <w:tcPr>
            <w:tcW w:w="1080" w:type="dxa"/>
            <w:gridSpan w:val="2"/>
            <w:noWrap/>
            <w:vAlign w:val="center"/>
          </w:tcPr>
          <w:p w14:paraId="04CA313E"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-2.0</w:t>
            </w:r>
          </w:p>
        </w:tc>
        <w:tc>
          <w:tcPr>
            <w:tcW w:w="1080" w:type="dxa"/>
            <w:gridSpan w:val="2"/>
            <w:noWrap/>
            <w:vAlign w:val="center"/>
          </w:tcPr>
          <w:p w14:paraId="5BCFD03E"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0.002</w:t>
            </w:r>
            <w:r w:rsidRPr="0060618B">
              <w:rPr>
                <w:rFonts w:ascii="Times New Roman" w:eastAsia="Times New Roman" w:hAnsi="Times New Roman" w:cs="Times New Roman"/>
              </w:rPr>
              <w:t>*</w:t>
            </w:r>
          </w:p>
        </w:tc>
      </w:tr>
      <w:tr w:rsidR="00286A60" w:rsidRPr="0060618B" w14:paraId="78C26492" w14:textId="77777777" w:rsidTr="00786E87">
        <w:trPr>
          <w:trHeight w:val="20"/>
          <w:jc w:val="center"/>
        </w:trPr>
        <w:tc>
          <w:tcPr>
            <w:tcW w:w="1448" w:type="dxa"/>
            <w:vMerge w:val="restart"/>
            <w:vAlign w:val="center"/>
          </w:tcPr>
          <w:p w14:paraId="711AE438"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Lymphocytes count %</w:t>
            </w:r>
          </w:p>
        </w:tc>
        <w:tc>
          <w:tcPr>
            <w:tcW w:w="1085" w:type="dxa"/>
            <w:vAlign w:val="center"/>
          </w:tcPr>
          <w:p w14:paraId="2FB220CC"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Control</w:t>
            </w:r>
          </w:p>
        </w:tc>
        <w:tc>
          <w:tcPr>
            <w:tcW w:w="1170" w:type="dxa"/>
            <w:gridSpan w:val="2"/>
            <w:vAlign w:val="center"/>
          </w:tcPr>
          <w:p w14:paraId="5FA0EDAD"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Diabetic</w:t>
            </w:r>
          </w:p>
        </w:tc>
        <w:tc>
          <w:tcPr>
            <w:tcW w:w="1352" w:type="dxa"/>
            <w:noWrap/>
            <w:vAlign w:val="center"/>
          </w:tcPr>
          <w:p w14:paraId="3BCAEF33"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0.4</w:t>
            </w:r>
          </w:p>
        </w:tc>
        <w:tc>
          <w:tcPr>
            <w:tcW w:w="1080" w:type="dxa"/>
            <w:gridSpan w:val="2"/>
            <w:noWrap/>
            <w:vAlign w:val="center"/>
          </w:tcPr>
          <w:p w14:paraId="734739D6"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1.7</w:t>
            </w:r>
          </w:p>
        </w:tc>
        <w:tc>
          <w:tcPr>
            <w:tcW w:w="1080" w:type="dxa"/>
            <w:gridSpan w:val="3"/>
            <w:noWrap/>
            <w:vAlign w:val="center"/>
          </w:tcPr>
          <w:p w14:paraId="0E82BD6F"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-3.7</w:t>
            </w:r>
          </w:p>
        </w:tc>
        <w:tc>
          <w:tcPr>
            <w:tcW w:w="1080" w:type="dxa"/>
            <w:gridSpan w:val="2"/>
            <w:noWrap/>
            <w:vAlign w:val="center"/>
          </w:tcPr>
          <w:p w14:paraId="48A9F403"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4.6</w:t>
            </w:r>
          </w:p>
        </w:tc>
        <w:tc>
          <w:tcPr>
            <w:tcW w:w="1080" w:type="dxa"/>
            <w:gridSpan w:val="2"/>
            <w:noWrap/>
            <w:vAlign w:val="center"/>
          </w:tcPr>
          <w:p w14:paraId="3B02E2C5"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0.965</w:t>
            </w:r>
          </w:p>
        </w:tc>
      </w:tr>
      <w:tr w:rsidR="00286A60" w:rsidRPr="0060618B" w14:paraId="209227AA" w14:textId="77777777" w:rsidTr="00786E87">
        <w:trPr>
          <w:trHeight w:val="20"/>
          <w:jc w:val="center"/>
        </w:trPr>
        <w:tc>
          <w:tcPr>
            <w:tcW w:w="1448" w:type="dxa"/>
            <w:vMerge/>
            <w:vAlign w:val="center"/>
          </w:tcPr>
          <w:p w14:paraId="54994068" w14:textId="77777777" w:rsidR="006261BF" w:rsidRPr="0060618B" w:rsidRDefault="006261BF" w:rsidP="0060618B">
            <w:pPr>
              <w:spacing w:after="0" w:line="276" w:lineRule="auto"/>
              <w:jc w:val="both"/>
              <w:rPr>
                <w:rFonts w:ascii="Times New Roman" w:eastAsia="Times New Roman" w:hAnsi="Times New Roman" w:cs="Times New Roman"/>
              </w:rPr>
            </w:pPr>
          </w:p>
        </w:tc>
        <w:tc>
          <w:tcPr>
            <w:tcW w:w="1085" w:type="dxa"/>
            <w:vAlign w:val="center"/>
          </w:tcPr>
          <w:p w14:paraId="1648A9EE"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Control</w:t>
            </w:r>
          </w:p>
        </w:tc>
        <w:tc>
          <w:tcPr>
            <w:tcW w:w="1170" w:type="dxa"/>
            <w:gridSpan w:val="2"/>
            <w:vAlign w:val="center"/>
          </w:tcPr>
          <w:p w14:paraId="7CABC242"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DFUs</w:t>
            </w:r>
          </w:p>
        </w:tc>
        <w:tc>
          <w:tcPr>
            <w:tcW w:w="1352" w:type="dxa"/>
            <w:noWrap/>
            <w:vAlign w:val="center"/>
          </w:tcPr>
          <w:p w14:paraId="64486405"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7.8</w:t>
            </w:r>
            <w:r w:rsidRPr="0060618B">
              <w:rPr>
                <w:rFonts w:ascii="Times New Roman" w:hAnsi="Times New Roman" w:cs="Times New Roman"/>
                <w:vertAlign w:val="superscript"/>
              </w:rPr>
              <w:t>*</w:t>
            </w:r>
          </w:p>
        </w:tc>
        <w:tc>
          <w:tcPr>
            <w:tcW w:w="1080" w:type="dxa"/>
            <w:gridSpan w:val="2"/>
            <w:noWrap/>
            <w:vAlign w:val="center"/>
          </w:tcPr>
          <w:p w14:paraId="4832125F"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1.7</w:t>
            </w:r>
          </w:p>
        </w:tc>
        <w:tc>
          <w:tcPr>
            <w:tcW w:w="1080" w:type="dxa"/>
            <w:gridSpan w:val="3"/>
            <w:noWrap/>
            <w:vAlign w:val="center"/>
          </w:tcPr>
          <w:p w14:paraId="43F79855"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3.6</w:t>
            </w:r>
          </w:p>
        </w:tc>
        <w:tc>
          <w:tcPr>
            <w:tcW w:w="1080" w:type="dxa"/>
            <w:gridSpan w:val="2"/>
            <w:noWrap/>
            <w:vAlign w:val="center"/>
          </w:tcPr>
          <w:p w14:paraId="0C9BDC35"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12.0</w:t>
            </w:r>
          </w:p>
        </w:tc>
        <w:tc>
          <w:tcPr>
            <w:tcW w:w="1080" w:type="dxa"/>
            <w:gridSpan w:val="2"/>
            <w:noWrap/>
            <w:vAlign w:val="center"/>
          </w:tcPr>
          <w:p w14:paraId="525BA33C"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eastAsia="Times New Roman" w:hAnsi="Times New Roman" w:cs="Times New Roman"/>
              </w:rPr>
              <w:t>0.001*</w:t>
            </w:r>
          </w:p>
        </w:tc>
      </w:tr>
      <w:tr w:rsidR="00286A60" w:rsidRPr="0060618B" w14:paraId="7D260920" w14:textId="77777777" w:rsidTr="00786E87">
        <w:trPr>
          <w:trHeight w:val="20"/>
          <w:jc w:val="center"/>
        </w:trPr>
        <w:tc>
          <w:tcPr>
            <w:tcW w:w="1448" w:type="dxa"/>
            <w:vMerge/>
            <w:vAlign w:val="center"/>
          </w:tcPr>
          <w:p w14:paraId="220869B2" w14:textId="77777777" w:rsidR="006261BF" w:rsidRPr="0060618B" w:rsidRDefault="006261BF" w:rsidP="0060618B">
            <w:pPr>
              <w:spacing w:after="0" w:line="276" w:lineRule="auto"/>
              <w:jc w:val="both"/>
              <w:rPr>
                <w:rFonts w:ascii="Times New Roman" w:eastAsia="Times New Roman" w:hAnsi="Times New Roman" w:cs="Times New Roman"/>
              </w:rPr>
            </w:pPr>
          </w:p>
        </w:tc>
        <w:tc>
          <w:tcPr>
            <w:tcW w:w="1085" w:type="dxa"/>
            <w:vAlign w:val="center"/>
          </w:tcPr>
          <w:p w14:paraId="37CB8956"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Diabetic</w:t>
            </w:r>
          </w:p>
        </w:tc>
        <w:tc>
          <w:tcPr>
            <w:tcW w:w="1170" w:type="dxa"/>
            <w:gridSpan w:val="2"/>
            <w:vAlign w:val="center"/>
          </w:tcPr>
          <w:p w14:paraId="16608083"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DFUs</w:t>
            </w:r>
          </w:p>
        </w:tc>
        <w:tc>
          <w:tcPr>
            <w:tcW w:w="1352" w:type="dxa"/>
            <w:noWrap/>
            <w:vAlign w:val="center"/>
          </w:tcPr>
          <w:p w14:paraId="0F2ED405"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7.4</w:t>
            </w:r>
            <w:r w:rsidRPr="0060618B">
              <w:rPr>
                <w:rFonts w:ascii="Times New Roman" w:hAnsi="Times New Roman" w:cs="Times New Roman"/>
                <w:vertAlign w:val="superscript"/>
              </w:rPr>
              <w:t>*</w:t>
            </w:r>
          </w:p>
        </w:tc>
        <w:tc>
          <w:tcPr>
            <w:tcW w:w="1080" w:type="dxa"/>
            <w:gridSpan w:val="2"/>
            <w:noWrap/>
            <w:vAlign w:val="center"/>
          </w:tcPr>
          <w:p w14:paraId="128880A9"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1.7</w:t>
            </w:r>
          </w:p>
        </w:tc>
        <w:tc>
          <w:tcPr>
            <w:tcW w:w="1080" w:type="dxa"/>
            <w:gridSpan w:val="3"/>
            <w:noWrap/>
            <w:vAlign w:val="center"/>
          </w:tcPr>
          <w:p w14:paraId="19BC99C1"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3.2</w:t>
            </w:r>
          </w:p>
        </w:tc>
        <w:tc>
          <w:tcPr>
            <w:tcW w:w="1080" w:type="dxa"/>
            <w:gridSpan w:val="2"/>
            <w:noWrap/>
            <w:vAlign w:val="center"/>
          </w:tcPr>
          <w:p w14:paraId="73634A17"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11.6</w:t>
            </w:r>
          </w:p>
        </w:tc>
        <w:tc>
          <w:tcPr>
            <w:tcW w:w="1080" w:type="dxa"/>
            <w:gridSpan w:val="2"/>
            <w:noWrap/>
            <w:vAlign w:val="center"/>
          </w:tcPr>
          <w:p w14:paraId="431E5169" w14:textId="77777777" w:rsidR="006261BF" w:rsidRPr="0060618B" w:rsidRDefault="006261BF" w:rsidP="00786E87">
            <w:pPr>
              <w:spacing w:after="0" w:line="276" w:lineRule="auto"/>
              <w:jc w:val="right"/>
              <w:rPr>
                <w:rFonts w:ascii="Times New Roman" w:eastAsia="Times New Roman" w:hAnsi="Times New Roman" w:cs="Times New Roman"/>
              </w:rPr>
            </w:pPr>
            <w:r w:rsidRPr="0060618B">
              <w:rPr>
                <w:rFonts w:ascii="Times New Roman" w:eastAsia="Times New Roman" w:hAnsi="Times New Roman" w:cs="Times New Roman"/>
              </w:rPr>
              <w:t>0.001*</w:t>
            </w:r>
          </w:p>
        </w:tc>
      </w:tr>
      <w:tr w:rsidR="00286A60" w:rsidRPr="0060618B" w14:paraId="51AEE8B5" w14:textId="77777777" w:rsidTr="00786E87">
        <w:trPr>
          <w:trHeight w:val="20"/>
          <w:jc w:val="center"/>
        </w:trPr>
        <w:tc>
          <w:tcPr>
            <w:tcW w:w="1448" w:type="dxa"/>
            <w:vMerge w:val="restart"/>
            <w:vAlign w:val="center"/>
          </w:tcPr>
          <w:p w14:paraId="3739049D" w14:textId="51CBBBC4" w:rsidR="006261BF" w:rsidRPr="0060618B" w:rsidRDefault="00B229D0" w:rsidP="0060618B">
            <w:pPr>
              <w:spacing w:after="0" w:line="276" w:lineRule="auto"/>
              <w:jc w:val="both"/>
              <w:rPr>
                <w:rFonts w:ascii="Times New Roman" w:eastAsia="Times New Roman" w:hAnsi="Times New Roman" w:cs="Times New Roman"/>
              </w:rPr>
            </w:pPr>
            <w:r w:rsidRPr="0060618B">
              <w:rPr>
                <w:rFonts w:ascii="Times New Roman" w:hAnsi="Times New Roman" w:cs="Times New Roman"/>
              </w:rPr>
              <w:t>'Neutrophil-to-Lymphocyte Ratio (NLR)</w:t>
            </w:r>
          </w:p>
        </w:tc>
        <w:tc>
          <w:tcPr>
            <w:tcW w:w="1085" w:type="dxa"/>
            <w:vAlign w:val="center"/>
          </w:tcPr>
          <w:p w14:paraId="2172DBC5"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Control</w:t>
            </w:r>
          </w:p>
        </w:tc>
        <w:tc>
          <w:tcPr>
            <w:tcW w:w="1170" w:type="dxa"/>
            <w:gridSpan w:val="2"/>
            <w:vAlign w:val="center"/>
          </w:tcPr>
          <w:p w14:paraId="4E65DB26"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Diabetic</w:t>
            </w:r>
          </w:p>
        </w:tc>
        <w:tc>
          <w:tcPr>
            <w:tcW w:w="1352" w:type="dxa"/>
            <w:noWrap/>
            <w:vAlign w:val="center"/>
          </w:tcPr>
          <w:p w14:paraId="34951EB1"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-.21660</w:t>
            </w:r>
          </w:p>
        </w:tc>
        <w:tc>
          <w:tcPr>
            <w:tcW w:w="1080" w:type="dxa"/>
            <w:gridSpan w:val="2"/>
            <w:noWrap/>
            <w:vAlign w:val="center"/>
          </w:tcPr>
          <w:p w14:paraId="57C736A1"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.39583</w:t>
            </w:r>
          </w:p>
        </w:tc>
        <w:tc>
          <w:tcPr>
            <w:tcW w:w="1080" w:type="dxa"/>
            <w:gridSpan w:val="3"/>
            <w:noWrap/>
            <w:vAlign w:val="center"/>
          </w:tcPr>
          <w:p w14:paraId="10879F86"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-1.1548</w:t>
            </w:r>
          </w:p>
        </w:tc>
        <w:tc>
          <w:tcPr>
            <w:tcW w:w="1080" w:type="dxa"/>
            <w:gridSpan w:val="2"/>
            <w:noWrap/>
            <w:vAlign w:val="center"/>
          </w:tcPr>
          <w:p w14:paraId="3DFF93C6"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.7216</w:t>
            </w:r>
          </w:p>
        </w:tc>
        <w:tc>
          <w:tcPr>
            <w:tcW w:w="1080" w:type="dxa"/>
            <w:gridSpan w:val="2"/>
            <w:noWrap/>
            <w:vAlign w:val="center"/>
          </w:tcPr>
          <w:p w14:paraId="10D4E055"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0.848</w:t>
            </w:r>
          </w:p>
        </w:tc>
      </w:tr>
      <w:tr w:rsidR="00286A60" w:rsidRPr="0060618B" w14:paraId="39F08366" w14:textId="77777777" w:rsidTr="00786E87">
        <w:trPr>
          <w:trHeight w:val="20"/>
          <w:jc w:val="center"/>
        </w:trPr>
        <w:tc>
          <w:tcPr>
            <w:tcW w:w="1448" w:type="dxa"/>
            <w:vMerge/>
            <w:vAlign w:val="center"/>
          </w:tcPr>
          <w:p w14:paraId="3E223AB3" w14:textId="77777777" w:rsidR="006261BF" w:rsidRPr="0060618B" w:rsidRDefault="006261BF" w:rsidP="0060618B">
            <w:pPr>
              <w:spacing w:after="0" w:line="276" w:lineRule="auto"/>
              <w:jc w:val="both"/>
              <w:rPr>
                <w:rFonts w:ascii="Times New Roman" w:eastAsia="Times New Roman" w:hAnsi="Times New Roman" w:cs="Times New Roman"/>
              </w:rPr>
            </w:pPr>
          </w:p>
        </w:tc>
        <w:tc>
          <w:tcPr>
            <w:tcW w:w="1085" w:type="dxa"/>
            <w:vAlign w:val="center"/>
          </w:tcPr>
          <w:p w14:paraId="4232C1CA"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Control</w:t>
            </w:r>
          </w:p>
        </w:tc>
        <w:tc>
          <w:tcPr>
            <w:tcW w:w="1170" w:type="dxa"/>
            <w:gridSpan w:val="2"/>
            <w:vAlign w:val="center"/>
          </w:tcPr>
          <w:p w14:paraId="30413747"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DFUs</w:t>
            </w:r>
          </w:p>
        </w:tc>
        <w:tc>
          <w:tcPr>
            <w:tcW w:w="1352" w:type="dxa"/>
            <w:noWrap/>
            <w:vAlign w:val="center"/>
          </w:tcPr>
          <w:p w14:paraId="50F270EA"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-1.74996</w:t>
            </w:r>
            <w:r w:rsidRPr="0060618B">
              <w:rPr>
                <w:rFonts w:ascii="Times New Roman" w:hAnsi="Times New Roman" w:cs="Times New Roman"/>
                <w:vertAlign w:val="superscript"/>
              </w:rPr>
              <w:t>*</w:t>
            </w:r>
          </w:p>
        </w:tc>
        <w:tc>
          <w:tcPr>
            <w:tcW w:w="1080" w:type="dxa"/>
            <w:gridSpan w:val="2"/>
            <w:noWrap/>
            <w:vAlign w:val="center"/>
          </w:tcPr>
          <w:p w14:paraId="7FE29DD7"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.39800</w:t>
            </w:r>
          </w:p>
        </w:tc>
        <w:tc>
          <w:tcPr>
            <w:tcW w:w="1080" w:type="dxa"/>
            <w:gridSpan w:val="3"/>
            <w:noWrap/>
            <w:vAlign w:val="center"/>
          </w:tcPr>
          <w:p w14:paraId="33CE4355"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-2.6933</w:t>
            </w:r>
          </w:p>
        </w:tc>
        <w:tc>
          <w:tcPr>
            <w:tcW w:w="1080" w:type="dxa"/>
            <w:gridSpan w:val="2"/>
            <w:noWrap/>
            <w:vAlign w:val="center"/>
          </w:tcPr>
          <w:p w14:paraId="0AF9E208"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-.8066</w:t>
            </w:r>
          </w:p>
        </w:tc>
        <w:tc>
          <w:tcPr>
            <w:tcW w:w="1080" w:type="dxa"/>
            <w:gridSpan w:val="2"/>
            <w:noWrap/>
            <w:vAlign w:val="center"/>
          </w:tcPr>
          <w:p w14:paraId="2F6111B1" w14:textId="77777777" w:rsidR="006261BF" w:rsidRPr="0060618B" w:rsidRDefault="006261BF" w:rsidP="00786E87">
            <w:pPr>
              <w:spacing w:after="0" w:line="276" w:lineRule="auto"/>
              <w:jc w:val="right"/>
              <w:rPr>
                <w:rFonts w:ascii="Times New Roman" w:hAnsi="Times New Roman" w:cs="Times New Roman"/>
              </w:rPr>
            </w:pPr>
            <w:r w:rsidRPr="0060618B">
              <w:rPr>
                <w:rFonts w:ascii="Times New Roman" w:eastAsia="Times New Roman" w:hAnsi="Times New Roman" w:cs="Times New Roman"/>
              </w:rPr>
              <w:t>0.001*</w:t>
            </w:r>
          </w:p>
        </w:tc>
      </w:tr>
      <w:tr w:rsidR="00286A60" w:rsidRPr="0060618B" w14:paraId="0BFA5990" w14:textId="77777777" w:rsidTr="00786E87">
        <w:trPr>
          <w:trHeight w:val="20"/>
          <w:jc w:val="center"/>
        </w:trPr>
        <w:tc>
          <w:tcPr>
            <w:tcW w:w="1448" w:type="dxa"/>
            <w:vMerge/>
            <w:vAlign w:val="center"/>
          </w:tcPr>
          <w:p w14:paraId="5AEDC090" w14:textId="77777777" w:rsidR="006261BF" w:rsidRPr="0060618B" w:rsidRDefault="006261BF" w:rsidP="0060618B">
            <w:pPr>
              <w:spacing w:after="0" w:line="276" w:lineRule="auto"/>
              <w:jc w:val="both"/>
              <w:rPr>
                <w:rFonts w:ascii="Times New Roman" w:eastAsia="Times New Roman" w:hAnsi="Times New Roman" w:cs="Times New Roman"/>
              </w:rPr>
            </w:pPr>
          </w:p>
        </w:tc>
        <w:tc>
          <w:tcPr>
            <w:tcW w:w="1085" w:type="dxa"/>
            <w:vAlign w:val="center"/>
          </w:tcPr>
          <w:p w14:paraId="6E012C5A"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Diabetic</w:t>
            </w:r>
          </w:p>
        </w:tc>
        <w:tc>
          <w:tcPr>
            <w:tcW w:w="1170" w:type="dxa"/>
            <w:gridSpan w:val="2"/>
            <w:vAlign w:val="center"/>
          </w:tcPr>
          <w:p w14:paraId="3E0F62F2"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DFUs</w:t>
            </w:r>
          </w:p>
        </w:tc>
        <w:tc>
          <w:tcPr>
            <w:tcW w:w="1352" w:type="dxa"/>
            <w:noWrap/>
            <w:vAlign w:val="center"/>
          </w:tcPr>
          <w:p w14:paraId="6F53A744"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-1.53335</w:t>
            </w:r>
            <w:r w:rsidRPr="0060618B">
              <w:rPr>
                <w:rFonts w:ascii="Times New Roman" w:hAnsi="Times New Roman" w:cs="Times New Roman"/>
                <w:vertAlign w:val="superscript"/>
              </w:rPr>
              <w:t>*</w:t>
            </w:r>
          </w:p>
        </w:tc>
        <w:tc>
          <w:tcPr>
            <w:tcW w:w="1080" w:type="dxa"/>
            <w:gridSpan w:val="2"/>
            <w:noWrap/>
            <w:vAlign w:val="center"/>
          </w:tcPr>
          <w:p w14:paraId="7744D53C"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.39583</w:t>
            </w:r>
          </w:p>
        </w:tc>
        <w:tc>
          <w:tcPr>
            <w:tcW w:w="1080" w:type="dxa"/>
            <w:gridSpan w:val="3"/>
            <w:noWrap/>
            <w:vAlign w:val="center"/>
          </w:tcPr>
          <w:p w14:paraId="26B5509D"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-2.4716</w:t>
            </w:r>
          </w:p>
        </w:tc>
        <w:tc>
          <w:tcPr>
            <w:tcW w:w="1080" w:type="dxa"/>
            <w:gridSpan w:val="2"/>
            <w:noWrap/>
            <w:vAlign w:val="center"/>
          </w:tcPr>
          <w:p w14:paraId="14E26D95" w14:textId="77777777" w:rsidR="006261BF" w:rsidRPr="0060618B" w:rsidRDefault="006261BF" w:rsidP="00786E87">
            <w:pPr>
              <w:autoSpaceDE w:val="0"/>
              <w:autoSpaceDN w:val="0"/>
              <w:adjustRightInd w:val="0"/>
              <w:spacing w:after="0" w:line="276" w:lineRule="auto"/>
              <w:ind w:left="60" w:right="60"/>
              <w:jc w:val="right"/>
              <w:rPr>
                <w:rFonts w:ascii="Times New Roman" w:hAnsi="Times New Roman" w:cs="Times New Roman"/>
              </w:rPr>
            </w:pPr>
            <w:r w:rsidRPr="0060618B">
              <w:rPr>
                <w:rFonts w:ascii="Times New Roman" w:hAnsi="Times New Roman" w:cs="Times New Roman"/>
              </w:rPr>
              <w:t>-.5951</w:t>
            </w:r>
          </w:p>
        </w:tc>
        <w:tc>
          <w:tcPr>
            <w:tcW w:w="1080" w:type="dxa"/>
            <w:gridSpan w:val="2"/>
            <w:noWrap/>
            <w:vAlign w:val="center"/>
          </w:tcPr>
          <w:p w14:paraId="4D9298BD" w14:textId="77777777" w:rsidR="006261BF" w:rsidRPr="0060618B" w:rsidRDefault="006261BF" w:rsidP="00786E87">
            <w:pPr>
              <w:spacing w:after="0" w:line="276" w:lineRule="auto"/>
              <w:jc w:val="right"/>
              <w:rPr>
                <w:rFonts w:ascii="Times New Roman" w:hAnsi="Times New Roman" w:cs="Times New Roman"/>
              </w:rPr>
            </w:pPr>
            <w:r w:rsidRPr="0060618B">
              <w:rPr>
                <w:rFonts w:ascii="Times New Roman" w:eastAsia="Times New Roman" w:hAnsi="Times New Roman" w:cs="Times New Roman"/>
              </w:rPr>
              <w:t>0.001*</w:t>
            </w:r>
          </w:p>
        </w:tc>
      </w:tr>
    </w:tbl>
    <w:p w14:paraId="1E4AA70E" w14:textId="77777777" w:rsidR="006261BF" w:rsidRPr="0060618B" w:rsidRDefault="006261BF" w:rsidP="0060618B">
      <w:pPr>
        <w:spacing w:after="0" w:line="276" w:lineRule="auto"/>
        <w:jc w:val="both"/>
        <w:rPr>
          <w:rFonts w:ascii="Times New Roman" w:eastAsia="Times New Roman" w:hAnsi="Times New Roman" w:cs="Times New Roman"/>
        </w:rPr>
      </w:pPr>
      <w:r w:rsidRPr="0060618B">
        <w:rPr>
          <w:rFonts w:ascii="Times New Roman" w:eastAsia="Times New Roman" w:hAnsi="Times New Roman" w:cs="Times New Roman"/>
        </w:rPr>
        <w:t>*p&lt;0.05 was considered statistically significant using Dunnett T3</w:t>
      </w:r>
    </w:p>
    <w:p w14:paraId="30F79157" w14:textId="77777777" w:rsidR="006261BF" w:rsidRPr="0060618B" w:rsidRDefault="006261BF" w:rsidP="0060618B">
      <w:pPr>
        <w:spacing w:after="0" w:line="276" w:lineRule="auto"/>
        <w:jc w:val="both"/>
        <w:rPr>
          <w:rFonts w:ascii="Times New Roman" w:eastAsia="Times New Roman" w:hAnsi="Times New Roman" w:cs="Times New Roman"/>
        </w:rPr>
      </w:pPr>
    </w:p>
    <w:p w14:paraId="248F7480" w14:textId="77777777" w:rsidR="006261BF" w:rsidRPr="0060618B" w:rsidRDefault="006261BF" w:rsidP="0060618B">
      <w:pPr>
        <w:spacing w:after="0" w:line="276" w:lineRule="auto"/>
        <w:jc w:val="both"/>
        <w:rPr>
          <w:rFonts w:ascii="Times New Roman" w:hAnsi="Times New Roman" w:cs="Times New Roman"/>
          <w:b/>
        </w:rPr>
      </w:pPr>
    </w:p>
    <w:p w14:paraId="2E750753" w14:textId="77777777" w:rsidR="006261BF" w:rsidRPr="0060618B" w:rsidRDefault="006261BF" w:rsidP="0060618B">
      <w:pPr>
        <w:spacing w:after="0" w:line="276" w:lineRule="auto"/>
        <w:jc w:val="both"/>
        <w:rPr>
          <w:rFonts w:ascii="Times New Roman" w:hAnsi="Times New Roman" w:cs="Times New Roman"/>
          <w:b/>
        </w:rPr>
      </w:pPr>
    </w:p>
    <w:p w14:paraId="33C77A32" w14:textId="77777777" w:rsidR="006261BF" w:rsidRPr="0060618B" w:rsidRDefault="006261BF" w:rsidP="0060618B">
      <w:pPr>
        <w:spacing w:after="0" w:line="276" w:lineRule="auto"/>
        <w:jc w:val="both"/>
        <w:rPr>
          <w:rFonts w:ascii="Times New Roman" w:hAnsi="Times New Roman" w:cs="Times New Roman"/>
          <w:b/>
        </w:rPr>
      </w:pPr>
    </w:p>
    <w:p w14:paraId="21213E38" w14:textId="77777777" w:rsidR="00786E87" w:rsidRDefault="00786E87">
      <w:pPr>
        <w:rPr>
          <w:rFonts w:ascii="Times New Roman" w:hAnsi="Times New Roman" w:cs="Times New Roman"/>
          <w:b/>
        </w:rPr>
      </w:pPr>
      <w:r>
        <w:rPr>
          <w:rFonts w:ascii="Times New Roman" w:hAnsi="Times New Roman" w:cs="Times New Roman"/>
          <w:b/>
        </w:rPr>
        <w:br w:type="page"/>
      </w:r>
    </w:p>
    <w:p w14:paraId="06A79EC5" w14:textId="34A10A9F" w:rsidR="006261BF" w:rsidRPr="0060618B" w:rsidRDefault="00786E87" w:rsidP="0060618B">
      <w:pPr>
        <w:spacing w:after="0" w:line="276" w:lineRule="auto"/>
        <w:jc w:val="both"/>
        <w:rPr>
          <w:rFonts w:ascii="Times New Roman" w:hAnsi="Times New Roman" w:cs="Times New Roman"/>
          <w:b/>
        </w:rPr>
      </w:pPr>
      <w:r>
        <w:rPr>
          <w:rFonts w:ascii="Times New Roman" w:hAnsi="Times New Roman" w:cs="Times New Roman"/>
          <w:b/>
        </w:rPr>
        <w:lastRenderedPageBreak/>
        <w:t>Table 3: A</w:t>
      </w:r>
      <w:r w:rsidRPr="0060618B">
        <w:rPr>
          <w:rFonts w:ascii="Times New Roman" w:hAnsi="Times New Roman" w:cs="Times New Roman"/>
          <w:b/>
        </w:rPr>
        <w:t>ntioxidant, inflammatory, and glycemic status among study groups: risk estimation for diabetic and diabetic foot ulcer patients using multinomial logistic regression analysis.</w:t>
      </w:r>
      <w:r w:rsidR="006261BF" w:rsidRPr="0060618B">
        <w:rPr>
          <w:rFonts w:ascii="Times New Roman" w:hAnsi="Times New Roman" w:cs="Times New Roman"/>
          <w:b/>
        </w:rPr>
        <w:t xml:space="preserve"> </w:t>
      </w:r>
    </w:p>
    <w:p w14:paraId="5DD1B014" w14:textId="77777777" w:rsidR="00275BCF" w:rsidRPr="0060618B" w:rsidRDefault="00275BCF" w:rsidP="0060618B">
      <w:pPr>
        <w:spacing w:after="0" w:line="276" w:lineRule="auto"/>
        <w:jc w:val="both"/>
        <w:rPr>
          <w:rFonts w:ascii="Times New Roman" w:hAnsi="Times New Roman" w:cs="Times New Roman"/>
          <w:b/>
        </w:rPr>
      </w:pPr>
    </w:p>
    <w:tbl>
      <w:tblPr>
        <w:tblStyle w:val="TableGrid"/>
        <w:tblW w:w="0" w:type="auto"/>
        <w:tblLook w:val="04A0" w:firstRow="1" w:lastRow="0" w:firstColumn="1" w:lastColumn="0" w:noHBand="0" w:noVBand="1"/>
      </w:tblPr>
      <w:tblGrid>
        <w:gridCol w:w="3192"/>
        <w:gridCol w:w="3192"/>
        <w:gridCol w:w="3192"/>
      </w:tblGrid>
      <w:tr w:rsidR="00286A60" w:rsidRPr="0060618B" w14:paraId="7AFE4F29" w14:textId="77777777" w:rsidTr="009F36E7">
        <w:tc>
          <w:tcPr>
            <w:tcW w:w="3192" w:type="dxa"/>
            <w:vAlign w:val="center"/>
          </w:tcPr>
          <w:p w14:paraId="67828D6F" w14:textId="77777777" w:rsidR="006261BF" w:rsidRPr="0060618B" w:rsidRDefault="006261BF" w:rsidP="0060618B">
            <w:pPr>
              <w:spacing w:line="276" w:lineRule="auto"/>
              <w:jc w:val="both"/>
              <w:rPr>
                <w:rFonts w:ascii="Times New Roman" w:eastAsia="Times New Roman" w:hAnsi="Times New Roman" w:cs="Times New Roman"/>
                <w:b/>
              </w:rPr>
            </w:pPr>
            <w:r w:rsidRPr="0060618B">
              <w:rPr>
                <w:rFonts w:ascii="Times New Roman" w:eastAsia="Times New Roman" w:hAnsi="Times New Roman" w:cs="Times New Roman"/>
                <w:b/>
              </w:rPr>
              <w:t>Parameters</w:t>
            </w:r>
          </w:p>
        </w:tc>
        <w:tc>
          <w:tcPr>
            <w:tcW w:w="3192" w:type="dxa"/>
            <w:vAlign w:val="center"/>
          </w:tcPr>
          <w:p w14:paraId="1678B910" w14:textId="1AEC0412" w:rsidR="006261BF" w:rsidRPr="0060618B" w:rsidRDefault="006261BF" w:rsidP="0060618B">
            <w:pPr>
              <w:spacing w:line="276" w:lineRule="auto"/>
              <w:jc w:val="both"/>
              <w:rPr>
                <w:rFonts w:ascii="Times New Roman" w:eastAsia="Times New Roman" w:hAnsi="Times New Roman" w:cs="Times New Roman"/>
                <w:b/>
              </w:rPr>
            </w:pPr>
            <w:r w:rsidRPr="0060618B">
              <w:rPr>
                <w:rFonts w:ascii="Times New Roman" w:eastAsia="Times New Roman" w:hAnsi="Times New Roman" w:cs="Times New Roman"/>
                <w:b/>
              </w:rPr>
              <w:t xml:space="preserve">Odds Ratio in </w:t>
            </w:r>
            <w:r w:rsidR="00014F8A" w:rsidRPr="0060618B">
              <w:rPr>
                <w:rFonts w:ascii="Times New Roman" w:hAnsi="Times New Roman" w:cs="Times New Roman"/>
              </w:rPr>
              <w:t>T2DM</w:t>
            </w:r>
            <w:r w:rsidR="00014F8A" w:rsidRPr="0060618B">
              <w:rPr>
                <w:rFonts w:ascii="Times New Roman" w:hAnsi="Times New Roman" w:cs="Times New Roman"/>
                <w:b/>
                <w:shd w:val="clear" w:color="auto" w:fill="FFFFFF"/>
              </w:rPr>
              <w:t xml:space="preserve"> group</w:t>
            </w:r>
            <w:r w:rsidRPr="0060618B">
              <w:rPr>
                <w:rFonts w:ascii="Times New Roman" w:eastAsia="Times New Roman" w:hAnsi="Times New Roman" w:cs="Times New Roman"/>
                <w:b/>
              </w:rPr>
              <w:t xml:space="preserve"> with C.I 95%</w:t>
            </w:r>
          </w:p>
        </w:tc>
        <w:tc>
          <w:tcPr>
            <w:tcW w:w="3192" w:type="dxa"/>
            <w:vAlign w:val="center"/>
          </w:tcPr>
          <w:p w14:paraId="30605735" w14:textId="57DA9042" w:rsidR="006261BF" w:rsidRPr="0060618B" w:rsidRDefault="006261BF" w:rsidP="0060618B">
            <w:pPr>
              <w:spacing w:line="276" w:lineRule="auto"/>
              <w:jc w:val="both"/>
              <w:rPr>
                <w:rFonts w:ascii="Times New Roman" w:eastAsia="Times New Roman" w:hAnsi="Times New Roman" w:cs="Times New Roman"/>
                <w:b/>
              </w:rPr>
            </w:pPr>
            <w:r w:rsidRPr="0060618B">
              <w:rPr>
                <w:rFonts w:ascii="Times New Roman" w:eastAsia="Times New Roman" w:hAnsi="Times New Roman" w:cs="Times New Roman"/>
                <w:b/>
              </w:rPr>
              <w:t xml:space="preserve">Odds Ratio in </w:t>
            </w:r>
            <w:r w:rsidR="00014F8A" w:rsidRPr="0060618B">
              <w:rPr>
                <w:rFonts w:ascii="Times New Roman" w:hAnsi="Times New Roman" w:cs="Times New Roman"/>
              </w:rPr>
              <w:t>T2DM</w:t>
            </w:r>
            <w:r w:rsidR="00014F8A" w:rsidRPr="0060618B">
              <w:rPr>
                <w:rFonts w:ascii="Times New Roman" w:hAnsi="Times New Roman" w:cs="Times New Roman"/>
                <w:b/>
                <w:shd w:val="clear" w:color="auto" w:fill="FFFFFF"/>
              </w:rPr>
              <w:t xml:space="preserve"> with foot ulcer group</w:t>
            </w:r>
            <w:r w:rsidRPr="0060618B">
              <w:rPr>
                <w:rFonts w:ascii="Times New Roman" w:hAnsi="Times New Roman" w:cs="Times New Roman"/>
                <w:b/>
                <w:shd w:val="clear" w:color="auto" w:fill="FFFFFF"/>
              </w:rPr>
              <w:t xml:space="preserve"> C.I </w:t>
            </w:r>
            <w:r w:rsidRPr="0060618B">
              <w:rPr>
                <w:rFonts w:ascii="Times New Roman" w:eastAsia="Times New Roman" w:hAnsi="Times New Roman" w:cs="Times New Roman"/>
                <w:b/>
              </w:rPr>
              <w:t>95%</w:t>
            </w:r>
          </w:p>
        </w:tc>
      </w:tr>
      <w:tr w:rsidR="00286A60" w:rsidRPr="0060618B" w14:paraId="07D7E162" w14:textId="77777777" w:rsidTr="00786E87">
        <w:tc>
          <w:tcPr>
            <w:tcW w:w="3192" w:type="dxa"/>
          </w:tcPr>
          <w:p w14:paraId="092FDFF8" w14:textId="77777777" w:rsidR="006261BF" w:rsidRPr="0060618B" w:rsidRDefault="006261BF" w:rsidP="0060618B">
            <w:pPr>
              <w:spacing w:line="276" w:lineRule="auto"/>
              <w:jc w:val="both"/>
              <w:rPr>
                <w:rFonts w:ascii="Times New Roman" w:eastAsia="Times New Roman" w:hAnsi="Times New Roman" w:cs="Times New Roman"/>
              </w:rPr>
            </w:pPr>
            <w:r w:rsidRPr="0060618B">
              <w:rPr>
                <w:rFonts w:ascii="Times New Roman" w:eastAsia="Times New Roman" w:hAnsi="Times New Roman" w:cs="Times New Roman"/>
              </w:rPr>
              <w:t>Fasting Blood sugar mg/dl level</w:t>
            </w:r>
          </w:p>
        </w:tc>
        <w:tc>
          <w:tcPr>
            <w:tcW w:w="3192" w:type="dxa"/>
            <w:vAlign w:val="center"/>
          </w:tcPr>
          <w:p w14:paraId="0CAFDB2E" w14:textId="77777777" w:rsidR="006261BF" w:rsidRPr="0060618B" w:rsidRDefault="006261BF" w:rsidP="00786E87">
            <w:pPr>
              <w:spacing w:line="276" w:lineRule="auto"/>
              <w:jc w:val="right"/>
              <w:rPr>
                <w:rFonts w:ascii="Times New Roman" w:eastAsia="Times New Roman" w:hAnsi="Times New Roman" w:cs="Times New Roman"/>
              </w:rPr>
            </w:pPr>
            <w:r w:rsidRPr="0060618B">
              <w:rPr>
                <w:rFonts w:ascii="Times New Roman" w:eastAsia="Times New Roman" w:hAnsi="Times New Roman" w:cs="Times New Roman"/>
              </w:rPr>
              <w:t>1.06* (C.I =1.03-1.10)</w:t>
            </w:r>
          </w:p>
        </w:tc>
        <w:tc>
          <w:tcPr>
            <w:tcW w:w="3192" w:type="dxa"/>
            <w:vAlign w:val="center"/>
          </w:tcPr>
          <w:p w14:paraId="51781C06" w14:textId="77777777" w:rsidR="006261BF" w:rsidRPr="0060618B" w:rsidRDefault="006261BF" w:rsidP="00786E87">
            <w:pPr>
              <w:spacing w:line="276" w:lineRule="auto"/>
              <w:jc w:val="right"/>
              <w:rPr>
                <w:rFonts w:ascii="Times New Roman" w:eastAsia="Times New Roman" w:hAnsi="Times New Roman" w:cs="Times New Roman"/>
              </w:rPr>
            </w:pPr>
            <w:r w:rsidRPr="0060618B">
              <w:rPr>
                <w:rFonts w:ascii="Times New Roman" w:eastAsia="Times New Roman" w:hAnsi="Times New Roman" w:cs="Times New Roman"/>
              </w:rPr>
              <w:t>1.06* (C.I =1.03-1.09)</w:t>
            </w:r>
          </w:p>
        </w:tc>
      </w:tr>
      <w:tr w:rsidR="00286A60" w:rsidRPr="0060618B" w14:paraId="357D6B54" w14:textId="77777777" w:rsidTr="00786E87">
        <w:tc>
          <w:tcPr>
            <w:tcW w:w="3192" w:type="dxa"/>
          </w:tcPr>
          <w:p w14:paraId="7FEE1FD9" w14:textId="77777777" w:rsidR="006261BF" w:rsidRPr="0060618B" w:rsidRDefault="006261BF" w:rsidP="0060618B">
            <w:pPr>
              <w:spacing w:line="276" w:lineRule="auto"/>
              <w:jc w:val="both"/>
              <w:rPr>
                <w:rFonts w:ascii="Times New Roman" w:eastAsia="Times New Roman" w:hAnsi="Times New Roman" w:cs="Times New Roman"/>
              </w:rPr>
            </w:pPr>
            <w:r w:rsidRPr="0060618B">
              <w:rPr>
                <w:rFonts w:ascii="Times New Roman" w:eastAsia="Times New Roman" w:hAnsi="Times New Roman" w:cs="Times New Roman"/>
              </w:rPr>
              <w:t>HbA1c level</w:t>
            </w:r>
          </w:p>
        </w:tc>
        <w:tc>
          <w:tcPr>
            <w:tcW w:w="3192" w:type="dxa"/>
            <w:vAlign w:val="center"/>
          </w:tcPr>
          <w:p w14:paraId="6D48D153" w14:textId="77777777" w:rsidR="006261BF" w:rsidRPr="0060618B" w:rsidRDefault="006261BF" w:rsidP="00786E87">
            <w:pPr>
              <w:spacing w:line="276" w:lineRule="auto"/>
              <w:jc w:val="right"/>
              <w:rPr>
                <w:rFonts w:ascii="Times New Roman" w:eastAsia="Times New Roman" w:hAnsi="Times New Roman" w:cs="Times New Roman"/>
              </w:rPr>
            </w:pPr>
            <w:r w:rsidRPr="0060618B">
              <w:rPr>
                <w:rFonts w:ascii="Times New Roman" w:eastAsia="Times New Roman" w:hAnsi="Times New Roman" w:cs="Times New Roman"/>
              </w:rPr>
              <w:t>72.6* (C.I =9.56-552.)</w:t>
            </w:r>
          </w:p>
        </w:tc>
        <w:tc>
          <w:tcPr>
            <w:tcW w:w="3192" w:type="dxa"/>
            <w:vAlign w:val="center"/>
          </w:tcPr>
          <w:p w14:paraId="1D9342FB" w14:textId="77777777" w:rsidR="006261BF" w:rsidRPr="0060618B" w:rsidRDefault="006261BF" w:rsidP="00786E87">
            <w:pPr>
              <w:spacing w:line="276" w:lineRule="auto"/>
              <w:jc w:val="right"/>
              <w:rPr>
                <w:rFonts w:ascii="Times New Roman" w:eastAsia="Times New Roman" w:hAnsi="Times New Roman" w:cs="Times New Roman"/>
              </w:rPr>
            </w:pPr>
            <w:r w:rsidRPr="0060618B">
              <w:rPr>
                <w:rFonts w:ascii="Times New Roman" w:eastAsia="Times New Roman" w:hAnsi="Times New Roman" w:cs="Times New Roman"/>
              </w:rPr>
              <w:t>89.0* (C.I =11.6-680.)</w:t>
            </w:r>
          </w:p>
        </w:tc>
      </w:tr>
      <w:tr w:rsidR="00286A60" w:rsidRPr="0060618B" w14:paraId="00370E8F" w14:textId="77777777" w:rsidTr="00786E87">
        <w:tc>
          <w:tcPr>
            <w:tcW w:w="3192" w:type="dxa"/>
          </w:tcPr>
          <w:p w14:paraId="278B4EAF" w14:textId="77777777" w:rsidR="006261BF" w:rsidRPr="0060618B" w:rsidRDefault="006261BF" w:rsidP="0060618B">
            <w:pPr>
              <w:spacing w:line="276" w:lineRule="auto"/>
              <w:jc w:val="both"/>
              <w:rPr>
                <w:rFonts w:ascii="Times New Roman" w:eastAsia="Times New Roman" w:hAnsi="Times New Roman" w:cs="Times New Roman"/>
              </w:rPr>
            </w:pPr>
            <w:r w:rsidRPr="0060618B">
              <w:rPr>
                <w:rFonts w:ascii="Times New Roman" w:eastAsia="Times New Roman" w:hAnsi="Times New Roman" w:cs="Times New Roman"/>
              </w:rPr>
              <w:t>C-reactive protein level</w:t>
            </w:r>
          </w:p>
        </w:tc>
        <w:tc>
          <w:tcPr>
            <w:tcW w:w="3192" w:type="dxa"/>
            <w:vAlign w:val="center"/>
          </w:tcPr>
          <w:p w14:paraId="265648E5" w14:textId="77777777" w:rsidR="006261BF" w:rsidRPr="0060618B" w:rsidRDefault="006261BF" w:rsidP="00786E87">
            <w:pPr>
              <w:spacing w:line="276" w:lineRule="auto"/>
              <w:jc w:val="right"/>
              <w:rPr>
                <w:rFonts w:ascii="Times New Roman" w:eastAsia="Times New Roman" w:hAnsi="Times New Roman" w:cs="Times New Roman"/>
              </w:rPr>
            </w:pPr>
            <w:r w:rsidRPr="0060618B">
              <w:rPr>
                <w:rFonts w:ascii="Times New Roman" w:eastAsia="Times New Roman" w:hAnsi="Times New Roman" w:cs="Times New Roman"/>
              </w:rPr>
              <w:t>1.04  (C.I =0.99-1.10)</w:t>
            </w:r>
          </w:p>
        </w:tc>
        <w:tc>
          <w:tcPr>
            <w:tcW w:w="3192" w:type="dxa"/>
            <w:vAlign w:val="center"/>
          </w:tcPr>
          <w:p w14:paraId="5737514E" w14:textId="77777777" w:rsidR="006261BF" w:rsidRPr="0060618B" w:rsidRDefault="006261BF" w:rsidP="00786E87">
            <w:pPr>
              <w:spacing w:line="276" w:lineRule="auto"/>
              <w:jc w:val="right"/>
              <w:rPr>
                <w:rFonts w:ascii="Times New Roman" w:eastAsia="Times New Roman" w:hAnsi="Times New Roman" w:cs="Times New Roman"/>
              </w:rPr>
            </w:pPr>
            <w:r w:rsidRPr="0060618B">
              <w:rPr>
                <w:rFonts w:ascii="Times New Roman" w:eastAsia="Times New Roman" w:hAnsi="Times New Roman" w:cs="Times New Roman"/>
              </w:rPr>
              <w:t>1.08* (C.I =1.02-1.13)</w:t>
            </w:r>
          </w:p>
        </w:tc>
      </w:tr>
      <w:tr w:rsidR="00286A60" w:rsidRPr="0060618B" w14:paraId="34F597BC" w14:textId="77777777" w:rsidTr="00786E87">
        <w:tc>
          <w:tcPr>
            <w:tcW w:w="3192" w:type="dxa"/>
          </w:tcPr>
          <w:p w14:paraId="5B3622AB" w14:textId="77777777" w:rsidR="006261BF" w:rsidRPr="0060618B" w:rsidRDefault="006261BF" w:rsidP="0060618B">
            <w:pPr>
              <w:spacing w:line="276" w:lineRule="auto"/>
              <w:jc w:val="both"/>
              <w:rPr>
                <w:rFonts w:ascii="Times New Roman" w:eastAsia="Times New Roman" w:hAnsi="Times New Roman" w:cs="Times New Roman"/>
              </w:rPr>
            </w:pPr>
            <w:r w:rsidRPr="0060618B">
              <w:rPr>
                <w:rFonts w:ascii="Times New Roman" w:eastAsia="Times New Roman" w:hAnsi="Times New Roman" w:cs="Times New Roman"/>
              </w:rPr>
              <w:t xml:space="preserve">Superoxide dismutase level </w:t>
            </w:r>
          </w:p>
        </w:tc>
        <w:tc>
          <w:tcPr>
            <w:tcW w:w="3192" w:type="dxa"/>
            <w:vAlign w:val="center"/>
          </w:tcPr>
          <w:p w14:paraId="46DCE618" w14:textId="77777777" w:rsidR="006261BF" w:rsidRPr="0060618B" w:rsidRDefault="006261BF" w:rsidP="00786E87">
            <w:pPr>
              <w:spacing w:line="276" w:lineRule="auto"/>
              <w:jc w:val="right"/>
              <w:rPr>
                <w:rFonts w:ascii="Times New Roman" w:eastAsia="Times New Roman" w:hAnsi="Times New Roman" w:cs="Times New Roman"/>
              </w:rPr>
            </w:pPr>
            <w:r w:rsidRPr="0060618B">
              <w:rPr>
                <w:rFonts w:ascii="Times New Roman" w:eastAsia="Times New Roman" w:hAnsi="Times New Roman" w:cs="Times New Roman"/>
              </w:rPr>
              <w:t>0.91* (C.I =0.88-0.94)</w:t>
            </w:r>
          </w:p>
        </w:tc>
        <w:tc>
          <w:tcPr>
            <w:tcW w:w="3192" w:type="dxa"/>
            <w:vAlign w:val="center"/>
          </w:tcPr>
          <w:p w14:paraId="23740521" w14:textId="77777777" w:rsidR="006261BF" w:rsidRPr="0060618B" w:rsidRDefault="006261BF" w:rsidP="00786E87">
            <w:pPr>
              <w:spacing w:line="276" w:lineRule="auto"/>
              <w:jc w:val="right"/>
              <w:rPr>
                <w:rFonts w:ascii="Times New Roman" w:eastAsia="Times New Roman" w:hAnsi="Times New Roman" w:cs="Times New Roman"/>
              </w:rPr>
            </w:pPr>
            <w:r w:rsidRPr="0060618B">
              <w:rPr>
                <w:rFonts w:ascii="Times New Roman" w:eastAsia="Times New Roman" w:hAnsi="Times New Roman" w:cs="Times New Roman"/>
              </w:rPr>
              <w:t>0.87* (C.I =0.84-0.91)</w:t>
            </w:r>
          </w:p>
        </w:tc>
      </w:tr>
      <w:tr w:rsidR="00286A60" w:rsidRPr="0060618B" w14:paraId="50B96EAF" w14:textId="77777777" w:rsidTr="00786E87">
        <w:tc>
          <w:tcPr>
            <w:tcW w:w="3192" w:type="dxa"/>
            <w:vAlign w:val="center"/>
          </w:tcPr>
          <w:p w14:paraId="4CCACB7B" w14:textId="77777777" w:rsidR="006261BF" w:rsidRPr="0060618B" w:rsidRDefault="006261BF" w:rsidP="0060618B">
            <w:pPr>
              <w:spacing w:line="276" w:lineRule="auto"/>
              <w:jc w:val="both"/>
              <w:rPr>
                <w:rFonts w:ascii="Times New Roman" w:eastAsia="Times New Roman" w:hAnsi="Times New Roman" w:cs="Times New Roman"/>
              </w:rPr>
            </w:pPr>
            <w:r w:rsidRPr="0060618B">
              <w:rPr>
                <w:rFonts w:ascii="Times New Roman" w:eastAsia="Times New Roman" w:hAnsi="Times New Roman" w:cs="Times New Roman"/>
              </w:rPr>
              <w:t>White blood cells</w:t>
            </w:r>
          </w:p>
        </w:tc>
        <w:tc>
          <w:tcPr>
            <w:tcW w:w="3192" w:type="dxa"/>
            <w:vAlign w:val="center"/>
          </w:tcPr>
          <w:p w14:paraId="1AED12C4" w14:textId="77777777" w:rsidR="006261BF" w:rsidRPr="0060618B" w:rsidRDefault="006261BF" w:rsidP="00786E87">
            <w:pPr>
              <w:spacing w:line="276" w:lineRule="auto"/>
              <w:jc w:val="right"/>
              <w:rPr>
                <w:rFonts w:ascii="Times New Roman" w:eastAsia="Times New Roman" w:hAnsi="Times New Roman" w:cs="Times New Roman"/>
              </w:rPr>
            </w:pPr>
            <w:r w:rsidRPr="0060618B">
              <w:rPr>
                <w:rFonts w:ascii="Times New Roman" w:eastAsia="Times New Roman" w:hAnsi="Times New Roman" w:cs="Times New Roman"/>
              </w:rPr>
              <w:t>1.44* (C.I =1.16-1.78)</w:t>
            </w:r>
          </w:p>
        </w:tc>
        <w:tc>
          <w:tcPr>
            <w:tcW w:w="3192" w:type="dxa"/>
            <w:vAlign w:val="center"/>
          </w:tcPr>
          <w:p w14:paraId="13F59DF5" w14:textId="77777777" w:rsidR="006261BF" w:rsidRPr="0060618B" w:rsidRDefault="006261BF" w:rsidP="00786E87">
            <w:pPr>
              <w:spacing w:line="276" w:lineRule="auto"/>
              <w:jc w:val="right"/>
              <w:rPr>
                <w:rFonts w:ascii="Times New Roman" w:eastAsia="Times New Roman" w:hAnsi="Times New Roman" w:cs="Times New Roman"/>
              </w:rPr>
            </w:pPr>
            <w:r w:rsidRPr="0060618B">
              <w:rPr>
                <w:rFonts w:ascii="Times New Roman" w:eastAsia="Times New Roman" w:hAnsi="Times New Roman" w:cs="Times New Roman"/>
              </w:rPr>
              <w:t>1.47* (C.I =1.18-1.82)</w:t>
            </w:r>
          </w:p>
        </w:tc>
      </w:tr>
      <w:tr w:rsidR="00286A60" w:rsidRPr="0060618B" w14:paraId="31DF1B5F" w14:textId="77777777" w:rsidTr="00786E87">
        <w:tc>
          <w:tcPr>
            <w:tcW w:w="3192" w:type="dxa"/>
            <w:vAlign w:val="center"/>
          </w:tcPr>
          <w:p w14:paraId="74D80FA1" w14:textId="77777777" w:rsidR="006261BF" w:rsidRPr="0060618B" w:rsidRDefault="006261BF" w:rsidP="0060618B">
            <w:pPr>
              <w:spacing w:line="276" w:lineRule="auto"/>
              <w:jc w:val="both"/>
              <w:rPr>
                <w:rFonts w:ascii="Times New Roman" w:eastAsia="Times New Roman" w:hAnsi="Times New Roman" w:cs="Times New Roman"/>
              </w:rPr>
            </w:pPr>
            <w:r w:rsidRPr="0060618B">
              <w:rPr>
                <w:rFonts w:ascii="Times New Roman" w:eastAsia="Times New Roman" w:hAnsi="Times New Roman" w:cs="Times New Roman"/>
              </w:rPr>
              <w:t>N (%)</w:t>
            </w:r>
          </w:p>
        </w:tc>
        <w:tc>
          <w:tcPr>
            <w:tcW w:w="3192" w:type="dxa"/>
            <w:vAlign w:val="center"/>
          </w:tcPr>
          <w:p w14:paraId="1FDC8E73" w14:textId="77777777" w:rsidR="006261BF" w:rsidRPr="0060618B" w:rsidRDefault="006261BF" w:rsidP="00786E87">
            <w:pPr>
              <w:spacing w:line="276" w:lineRule="auto"/>
              <w:jc w:val="right"/>
              <w:rPr>
                <w:rFonts w:ascii="Times New Roman" w:eastAsia="Times New Roman" w:hAnsi="Times New Roman" w:cs="Times New Roman"/>
              </w:rPr>
            </w:pPr>
            <w:r w:rsidRPr="0060618B">
              <w:rPr>
                <w:rFonts w:ascii="Times New Roman" w:eastAsia="Times New Roman" w:hAnsi="Times New Roman" w:cs="Times New Roman"/>
              </w:rPr>
              <w:t>1.00 (C.I =0.96-1.05)</w:t>
            </w:r>
          </w:p>
        </w:tc>
        <w:tc>
          <w:tcPr>
            <w:tcW w:w="3192" w:type="dxa"/>
            <w:vAlign w:val="center"/>
          </w:tcPr>
          <w:p w14:paraId="6B518819" w14:textId="77777777" w:rsidR="006261BF" w:rsidRPr="0060618B" w:rsidRDefault="006261BF" w:rsidP="00786E87">
            <w:pPr>
              <w:spacing w:line="276" w:lineRule="auto"/>
              <w:jc w:val="right"/>
              <w:rPr>
                <w:rFonts w:ascii="Times New Roman" w:eastAsia="Times New Roman" w:hAnsi="Times New Roman" w:cs="Times New Roman"/>
              </w:rPr>
            </w:pPr>
            <w:r w:rsidRPr="0060618B">
              <w:rPr>
                <w:rFonts w:ascii="Times New Roman" w:eastAsia="Times New Roman" w:hAnsi="Times New Roman" w:cs="Times New Roman"/>
              </w:rPr>
              <w:t>1.09* (C.I =1.04-1.15)</w:t>
            </w:r>
          </w:p>
        </w:tc>
      </w:tr>
      <w:tr w:rsidR="00286A60" w:rsidRPr="0060618B" w14:paraId="680BFCB3" w14:textId="77777777" w:rsidTr="00786E87">
        <w:tc>
          <w:tcPr>
            <w:tcW w:w="3192" w:type="dxa"/>
            <w:vAlign w:val="center"/>
          </w:tcPr>
          <w:p w14:paraId="5729E1C1" w14:textId="77777777" w:rsidR="006261BF" w:rsidRPr="0060618B" w:rsidRDefault="006261BF" w:rsidP="0060618B">
            <w:pPr>
              <w:spacing w:line="276" w:lineRule="auto"/>
              <w:jc w:val="both"/>
              <w:rPr>
                <w:rFonts w:ascii="Times New Roman" w:eastAsia="Times New Roman" w:hAnsi="Times New Roman" w:cs="Times New Roman"/>
              </w:rPr>
            </w:pPr>
            <w:r w:rsidRPr="0060618B">
              <w:rPr>
                <w:rFonts w:ascii="Times New Roman" w:eastAsia="Times New Roman" w:hAnsi="Times New Roman" w:cs="Times New Roman"/>
              </w:rPr>
              <w:t>L (%)</w:t>
            </w:r>
          </w:p>
        </w:tc>
        <w:tc>
          <w:tcPr>
            <w:tcW w:w="3192" w:type="dxa"/>
            <w:vAlign w:val="center"/>
          </w:tcPr>
          <w:p w14:paraId="7CC68592" w14:textId="77777777" w:rsidR="006261BF" w:rsidRPr="0060618B" w:rsidRDefault="006261BF" w:rsidP="00786E87">
            <w:pPr>
              <w:spacing w:line="276" w:lineRule="auto"/>
              <w:jc w:val="right"/>
              <w:rPr>
                <w:rFonts w:ascii="Times New Roman" w:eastAsia="Times New Roman" w:hAnsi="Times New Roman" w:cs="Times New Roman"/>
              </w:rPr>
            </w:pPr>
            <w:r w:rsidRPr="0060618B">
              <w:rPr>
                <w:rFonts w:ascii="Times New Roman" w:eastAsia="Times New Roman" w:hAnsi="Times New Roman" w:cs="Times New Roman"/>
              </w:rPr>
              <w:t>0.99 (C.I =0.94-1.04)</w:t>
            </w:r>
          </w:p>
        </w:tc>
        <w:tc>
          <w:tcPr>
            <w:tcW w:w="3192" w:type="dxa"/>
            <w:vAlign w:val="center"/>
          </w:tcPr>
          <w:p w14:paraId="66FF37C9" w14:textId="77777777" w:rsidR="006261BF" w:rsidRPr="0060618B" w:rsidRDefault="006261BF" w:rsidP="00786E87">
            <w:pPr>
              <w:spacing w:line="276" w:lineRule="auto"/>
              <w:jc w:val="right"/>
              <w:rPr>
                <w:rFonts w:ascii="Times New Roman" w:eastAsia="Times New Roman" w:hAnsi="Times New Roman" w:cs="Times New Roman"/>
              </w:rPr>
            </w:pPr>
            <w:r w:rsidRPr="0060618B">
              <w:rPr>
                <w:rFonts w:ascii="Times New Roman" w:eastAsia="Times New Roman" w:hAnsi="Times New Roman" w:cs="Times New Roman"/>
              </w:rPr>
              <w:t>0.88* (C.I =0.83-0.94)</w:t>
            </w:r>
          </w:p>
        </w:tc>
      </w:tr>
      <w:tr w:rsidR="00286A60" w:rsidRPr="0060618B" w14:paraId="78D72EFF" w14:textId="77777777" w:rsidTr="00786E87">
        <w:tc>
          <w:tcPr>
            <w:tcW w:w="3192" w:type="dxa"/>
            <w:vAlign w:val="center"/>
          </w:tcPr>
          <w:p w14:paraId="2EEA4156" w14:textId="6DC6AC65" w:rsidR="006261BF" w:rsidRPr="0060618B" w:rsidRDefault="00B229D0" w:rsidP="0060618B">
            <w:pPr>
              <w:spacing w:line="276" w:lineRule="auto"/>
              <w:jc w:val="both"/>
              <w:rPr>
                <w:rFonts w:ascii="Times New Roman" w:eastAsia="Times New Roman" w:hAnsi="Times New Roman" w:cs="Times New Roman"/>
              </w:rPr>
            </w:pPr>
            <w:r w:rsidRPr="0060618B">
              <w:rPr>
                <w:rFonts w:ascii="Times New Roman" w:hAnsi="Times New Roman" w:cs="Times New Roman"/>
              </w:rPr>
              <w:t>'Neutrophil-to-Lymphocyte Ratio (NLR)</w:t>
            </w:r>
          </w:p>
        </w:tc>
        <w:tc>
          <w:tcPr>
            <w:tcW w:w="3192" w:type="dxa"/>
            <w:vAlign w:val="center"/>
          </w:tcPr>
          <w:p w14:paraId="6BD93FB4" w14:textId="77777777" w:rsidR="006261BF" w:rsidRPr="0060618B" w:rsidRDefault="006261BF" w:rsidP="00786E87">
            <w:pPr>
              <w:spacing w:line="276" w:lineRule="auto"/>
              <w:jc w:val="right"/>
              <w:rPr>
                <w:rFonts w:ascii="Times New Roman" w:eastAsia="Times New Roman" w:hAnsi="Times New Roman" w:cs="Times New Roman"/>
              </w:rPr>
            </w:pPr>
            <w:r w:rsidRPr="0060618B">
              <w:rPr>
                <w:rFonts w:ascii="Times New Roman" w:eastAsia="Times New Roman" w:hAnsi="Times New Roman" w:cs="Times New Roman"/>
              </w:rPr>
              <w:t>1.20 (C.I =0.81-1.76)</w:t>
            </w:r>
          </w:p>
        </w:tc>
        <w:tc>
          <w:tcPr>
            <w:tcW w:w="3192" w:type="dxa"/>
            <w:vAlign w:val="center"/>
          </w:tcPr>
          <w:p w14:paraId="086DD6D4" w14:textId="77777777" w:rsidR="006261BF" w:rsidRPr="0060618B" w:rsidRDefault="006261BF" w:rsidP="00786E87">
            <w:pPr>
              <w:spacing w:line="276" w:lineRule="auto"/>
              <w:jc w:val="right"/>
              <w:rPr>
                <w:rFonts w:ascii="Times New Roman" w:eastAsia="Times New Roman" w:hAnsi="Times New Roman" w:cs="Times New Roman"/>
              </w:rPr>
            </w:pPr>
            <w:r w:rsidRPr="0060618B">
              <w:rPr>
                <w:rFonts w:ascii="Times New Roman" w:eastAsia="Times New Roman" w:hAnsi="Times New Roman" w:cs="Times New Roman"/>
              </w:rPr>
              <w:t>1.86* (C.I =1.28-2.71)</w:t>
            </w:r>
          </w:p>
        </w:tc>
      </w:tr>
      <w:tr w:rsidR="00286A60" w:rsidRPr="0060618B" w14:paraId="2489FEE4" w14:textId="77777777" w:rsidTr="009F36E7">
        <w:tc>
          <w:tcPr>
            <w:tcW w:w="9576" w:type="dxa"/>
            <w:gridSpan w:val="3"/>
          </w:tcPr>
          <w:p w14:paraId="7232DE60" w14:textId="77777777" w:rsidR="006261BF" w:rsidRPr="0060618B" w:rsidRDefault="006261BF" w:rsidP="0060618B">
            <w:pPr>
              <w:spacing w:line="276" w:lineRule="auto"/>
              <w:jc w:val="both"/>
              <w:rPr>
                <w:rFonts w:ascii="Times New Roman" w:eastAsia="Times New Roman" w:hAnsi="Times New Roman" w:cs="Times New Roman"/>
              </w:rPr>
            </w:pPr>
            <w:r w:rsidRPr="0060618B">
              <w:rPr>
                <w:rFonts w:ascii="Times New Roman" w:eastAsia="Times New Roman" w:hAnsi="Times New Roman" w:cs="Times New Roman"/>
              </w:rPr>
              <w:t>* p&lt;0.05- significant odds ratio</w:t>
            </w:r>
          </w:p>
        </w:tc>
      </w:tr>
    </w:tbl>
    <w:p w14:paraId="5D042799" w14:textId="77777777" w:rsidR="006261BF" w:rsidRPr="0060618B" w:rsidRDefault="006261BF" w:rsidP="0060618B">
      <w:pPr>
        <w:spacing w:after="0" w:line="276" w:lineRule="auto"/>
        <w:jc w:val="both"/>
        <w:rPr>
          <w:rFonts w:ascii="Times New Roman" w:eastAsia="Times New Roman" w:hAnsi="Times New Roman" w:cs="Times New Roman"/>
        </w:rPr>
      </w:pPr>
    </w:p>
    <w:p w14:paraId="03701052" w14:textId="77777777" w:rsidR="006261BF" w:rsidRPr="0060618B" w:rsidRDefault="006261BF" w:rsidP="0060618B">
      <w:pPr>
        <w:spacing w:after="0" w:line="276" w:lineRule="auto"/>
        <w:jc w:val="both"/>
        <w:rPr>
          <w:rFonts w:ascii="Times New Roman" w:eastAsia="Times New Roman" w:hAnsi="Times New Roman" w:cs="Times New Roman"/>
        </w:rPr>
      </w:pPr>
    </w:p>
    <w:p w14:paraId="390989E0" w14:textId="66D6C827" w:rsidR="006261BF" w:rsidRPr="0060618B" w:rsidRDefault="00786E87" w:rsidP="0060618B">
      <w:pPr>
        <w:spacing w:after="0" w:line="276" w:lineRule="auto"/>
        <w:jc w:val="both"/>
        <w:rPr>
          <w:rFonts w:ascii="Times New Roman" w:hAnsi="Times New Roman" w:cs="Times New Roman"/>
          <w:shd w:val="clear" w:color="auto" w:fill="FFFFFF"/>
        </w:rPr>
      </w:pPr>
      <w:r w:rsidRPr="0060618B">
        <w:rPr>
          <w:rFonts w:ascii="Times New Roman" w:hAnsi="Times New Roman" w:cs="Times New Roman"/>
          <w:b/>
          <w:shd w:val="clear" w:color="auto" w:fill="FFFFFF"/>
        </w:rPr>
        <w:t>Discussion</w:t>
      </w:r>
      <w:r w:rsidR="006261BF" w:rsidRPr="0060618B">
        <w:rPr>
          <w:rFonts w:ascii="Times New Roman" w:hAnsi="Times New Roman" w:cs="Times New Roman"/>
          <w:shd w:val="clear" w:color="auto" w:fill="FFFFFF"/>
        </w:rPr>
        <w:t xml:space="preserve"> </w:t>
      </w:r>
    </w:p>
    <w:p w14:paraId="3DFB3143" w14:textId="77777777" w:rsidR="000D2AF4" w:rsidRPr="0060618B" w:rsidRDefault="000D2AF4" w:rsidP="0060618B">
      <w:pPr>
        <w:spacing w:after="0" w:line="276" w:lineRule="auto"/>
        <w:jc w:val="both"/>
        <w:rPr>
          <w:rFonts w:ascii="Times New Roman" w:hAnsi="Times New Roman" w:cs="Times New Roman"/>
          <w:shd w:val="clear" w:color="auto" w:fill="FFFFFF"/>
        </w:rPr>
      </w:pPr>
    </w:p>
    <w:p w14:paraId="49888BEA" w14:textId="40C5D416" w:rsidR="00617C8E" w:rsidRPr="0060618B" w:rsidRDefault="000D2AF4" w:rsidP="0060618B">
      <w:pPr>
        <w:spacing w:after="0" w:line="276" w:lineRule="auto"/>
        <w:jc w:val="both"/>
        <w:rPr>
          <w:rFonts w:ascii="Times New Roman" w:hAnsi="Times New Roman" w:cs="Times New Roman"/>
          <w:shd w:val="clear" w:color="auto" w:fill="FFFFFF"/>
        </w:rPr>
      </w:pPr>
      <w:r w:rsidRPr="0060618B">
        <w:rPr>
          <w:rFonts w:ascii="Times New Roman" w:hAnsi="Times New Roman" w:cs="Times New Roman"/>
          <w:shd w:val="clear" w:color="auto" w:fill="FFFFFF"/>
        </w:rPr>
        <w:t>The pathogenesis of DFUs is complex, primarily associated with long-term inflammation, oxidative stress, and hyperglycemia in diabetic patients. Elevated serum pro-oxidants, decreased serum antioxidants (SOD), and elevated levels of inflammatory markers (CRP and NLR) support this association.</w:t>
      </w:r>
      <w:r w:rsidRPr="0060618B">
        <w:rPr>
          <w:rFonts w:ascii="Times New Roman" w:hAnsi="Times New Roman" w:cs="Times New Roman"/>
          <w:shd w:val="clear" w:color="auto" w:fill="FFFFFF"/>
          <w:vertAlign w:val="superscript"/>
        </w:rPr>
        <w:t>12</w:t>
      </w:r>
      <w:r w:rsidR="007035E4" w:rsidRPr="0060618B">
        <w:rPr>
          <w:rFonts w:ascii="Times New Roman" w:hAnsi="Times New Roman" w:cs="Times New Roman"/>
          <w:shd w:val="clear" w:color="auto" w:fill="FFFFFF"/>
          <w:vertAlign w:val="superscript"/>
        </w:rPr>
        <w:t xml:space="preserve"> </w:t>
      </w:r>
      <w:r w:rsidRPr="0060618B">
        <w:rPr>
          <w:rFonts w:ascii="Times New Roman" w:hAnsi="Times New Roman" w:cs="Times New Roman"/>
          <w:shd w:val="clear" w:color="auto" w:fill="FFFFFF"/>
        </w:rPr>
        <w:t xml:space="preserve">We observed significant differences in HbA1c levels among groups (p &lt; 0.05; see Table 1). A study carried out in </w:t>
      </w:r>
      <w:r w:rsidR="009F6011" w:rsidRPr="0060618B">
        <w:rPr>
          <w:rFonts w:ascii="Times New Roman" w:hAnsi="Times New Roman" w:cs="Times New Roman"/>
          <w:shd w:val="clear" w:color="auto" w:fill="FFFFFF"/>
        </w:rPr>
        <w:t>Pakistan</w:t>
      </w:r>
      <w:r w:rsidRPr="0060618B">
        <w:rPr>
          <w:rFonts w:ascii="Times New Roman" w:hAnsi="Times New Roman" w:cs="Times New Roman"/>
          <w:shd w:val="clear" w:color="auto" w:fill="FFFFFF"/>
        </w:rPr>
        <w:t xml:space="preserve"> reached a similar conclusion</w:t>
      </w:r>
      <w:r w:rsidR="009F6011" w:rsidRPr="0060618B">
        <w:rPr>
          <w:rFonts w:ascii="Times New Roman" w:hAnsi="Times New Roman" w:cs="Times New Roman"/>
          <w:shd w:val="clear" w:color="auto" w:fill="FFFFFF"/>
        </w:rPr>
        <w:t xml:space="preserve"> </w:t>
      </w:r>
      <w:r w:rsidR="009F6011" w:rsidRPr="0060618B">
        <w:rPr>
          <w:rFonts w:ascii="Times New Roman" w:hAnsi="Times New Roman" w:cs="Times New Roman"/>
        </w:rPr>
        <w:t xml:space="preserve">by </w:t>
      </w:r>
      <w:r w:rsidR="009F6011" w:rsidRPr="00786E87">
        <w:rPr>
          <w:rFonts w:ascii="Times New Roman" w:hAnsi="Times New Roman" w:cs="Times New Roman"/>
        </w:rPr>
        <w:t>Nizamud Din et al</w:t>
      </w:r>
      <w:r w:rsidR="009F6011" w:rsidRPr="0060618B">
        <w:rPr>
          <w:rFonts w:ascii="Times New Roman" w:hAnsi="Times New Roman" w:cs="Times New Roman"/>
        </w:rPr>
        <w:t>.</w:t>
      </w:r>
      <w:r w:rsidRPr="0060618B">
        <w:rPr>
          <w:rFonts w:ascii="Times New Roman" w:hAnsi="Times New Roman" w:cs="Times New Roman"/>
          <w:shd w:val="clear" w:color="auto" w:fill="FFFFFF"/>
          <w:vertAlign w:val="superscript"/>
        </w:rPr>
        <w:t>13</w:t>
      </w:r>
      <w:r w:rsidRPr="0060618B">
        <w:rPr>
          <w:rFonts w:ascii="Times New Roman" w:hAnsi="Times New Roman" w:cs="Times New Roman"/>
          <w:shd w:val="clear" w:color="auto" w:fill="FFFFFF"/>
        </w:rPr>
        <w:t xml:space="preserve"> </w:t>
      </w:r>
    </w:p>
    <w:p w14:paraId="59C368E1" w14:textId="77777777" w:rsidR="00617C8E" w:rsidRPr="0060618B" w:rsidRDefault="000D2AF4" w:rsidP="0060618B">
      <w:pPr>
        <w:spacing w:after="0" w:line="276" w:lineRule="auto"/>
        <w:jc w:val="both"/>
        <w:rPr>
          <w:rFonts w:ascii="Times New Roman" w:hAnsi="Times New Roman" w:cs="Times New Roman"/>
          <w:shd w:val="clear" w:color="auto" w:fill="FFFFFF"/>
        </w:rPr>
      </w:pPr>
      <w:r w:rsidRPr="0060618B">
        <w:rPr>
          <w:rFonts w:ascii="Times New Roman" w:hAnsi="Times New Roman" w:cs="Times New Roman"/>
          <w:shd w:val="clear" w:color="auto" w:fill="FFFFFF"/>
        </w:rPr>
        <w:t>HbA1c levels showed a strong association [OR=72.6* (C. I=9.56-552)] with the onset of diabetes in healthy individuals (see Table 3). Furthermore, Table 3 shows a strong association of HbA1c with the incidence of diabetic foot ulcers [OR=89.0* (C. I=11.6-680)].</w:t>
      </w:r>
      <w:r w:rsidRPr="0060618B">
        <w:rPr>
          <w:rFonts w:ascii="Times New Roman" w:hAnsi="Times New Roman" w:cs="Times New Roman"/>
          <w:shd w:val="clear" w:color="auto" w:fill="FFFFFF"/>
          <w:vertAlign w:val="superscript"/>
        </w:rPr>
        <w:t>14</w:t>
      </w:r>
      <w:r w:rsidRPr="0060618B">
        <w:rPr>
          <w:rFonts w:ascii="Times New Roman" w:hAnsi="Times New Roman" w:cs="Times New Roman"/>
          <w:shd w:val="clear" w:color="auto" w:fill="FFFFFF"/>
        </w:rPr>
        <w:t xml:space="preserve"> </w:t>
      </w:r>
    </w:p>
    <w:p w14:paraId="2777EDB3" w14:textId="77777777" w:rsidR="004C40F1" w:rsidRPr="0060618B" w:rsidRDefault="000D2AF4" w:rsidP="0060618B">
      <w:pPr>
        <w:spacing w:after="0" w:line="276" w:lineRule="auto"/>
        <w:jc w:val="both"/>
        <w:rPr>
          <w:rFonts w:ascii="Times New Roman" w:hAnsi="Times New Roman" w:cs="Times New Roman"/>
          <w:shd w:val="clear" w:color="auto" w:fill="FFFFFF"/>
        </w:rPr>
      </w:pPr>
      <w:r w:rsidRPr="0060618B">
        <w:rPr>
          <w:rFonts w:ascii="Times New Roman" w:hAnsi="Times New Roman" w:cs="Times New Roman"/>
          <w:shd w:val="clear" w:color="auto" w:fill="FFFFFF"/>
        </w:rPr>
        <w:t xml:space="preserve">A meta-analysis </w:t>
      </w:r>
      <w:r w:rsidR="00F76CD5" w:rsidRPr="0060618B">
        <w:rPr>
          <w:rFonts w:ascii="Times New Roman" w:hAnsi="Times New Roman" w:cs="Times New Roman"/>
        </w:rPr>
        <w:t xml:space="preserve">by </w:t>
      </w:r>
      <w:r w:rsidR="00F76CD5" w:rsidRPr="00786E87">
        <w:rPr>
          <w:rFonts w:ascii="Times New Roman" w:hAnsi="Times New Roman" w:cs="Times New Roman"/>
        </w:rPr>
        <w:t>Tang et al</w:t>
      </w:r>
      <w:r w:rsidR="00F76CD5" w:rsidRPr="0060618B">
        <w:rPr>
          <w:rFonts w:ascii="Times New Roman" w:hAnsi="Times New Roman" w:cs="Times New Roman"/>
        </w:rPr>
        <w:t>. reported that</w:t>
      </w:r>
      <w:r w:rsidR="00F76CD5" w:rsidRPr="0060618B">
        <w:rPr>
          <w:rFonts w:ascii="Times New Roman" w:hAnsi="Times New Roman" w:cs="Times New Roman"/>
          <w:shd w:val="clear" w:color="auto" w:fill="FFFFFF"/>
        </w:rPr>
        <w:t xml:space="preserve"> </w:t>
      </w:r>
      <w:r w:rsidRPr="0060618B">
        <w:rPr>
          <w:rFonts w:ascii="Times New Roman" w:hAnsi="Times New Roman" w:cs="Times New Roman"/>
          <w:shd w:val="clear" w:color="auto" w:fill="FFFFFF"/>
        </w:rPr>
        <w:t xml:space="preserve">HbA1c levels </w:t>
      </w:r>
      <w:r w:rsidR="006A6EB9" w:rsidRPr="0060618B">
        <w:rPr>
          <w:rFonts w:ascii="Times New Roman" w:hAnsi="Times New Roman" w:cs="Times New Roman"/>
          <w:shd w:val="clear" w:color="auto" w:fill="FFFFFF"/>
        </w:rPr>
        <w:t>are</w:t>
      </w:r>
      <w:r w:rsidRPr="0060618B">
        <w:rPr>
          <w:rFonts w:ascii="Times New Roman" w:hAnsi="Times New Roman" w:cs="Times New Roman"/>
          <w:shd w:val="clear" w:color="auto" w:fill="FFFFFF"/>
        </w:rPr>
        <w:t xml:space="preserve"> an independent </w:t>
      </w:r>
      <w:r w:rsidR="00F76CD5" w:rsidRPr="0060618B">
        <w:rPr>
          <w:rFonts w:ascii="Times New Roman" w:hAnsi="Times New Roman" w:cs="Times New Roman"/>
        </w:rPr>
        <w:t xml:space="preserve">predictor of </w:t>
      </w:r>
      <w:r w:rsidRPr="0060618B">
        <w:rPr>
          <w:rFonts w:ascii="Times New Roman" w:hAnsi="Times New Roman" w:cs="Times New Roman"/>
          <w:shd w:val="clear" w:color="auto" w:fill="FFFFFF"/>
        </w:rPr>
        <w:t>diabetic foot ulcers (DFUs).</w:t>
      </w:r>
      <w:r w:rsidRPr="0060618B">
        <w:rPr>
          <w:rFonts w:ascii="Times New Roman" w:hAnsi="Times New Roman" w:cs="Times New Roman"/>
          <w:shd w:val="clear" w:color="auto" w:fill="FFFFFF"/>
          <w:vertAlign w:val="superscript"/>
        </w:rPr>
        <w:t>15</w:t>
      </w:r>
      <w:r w:rsidRPr="0060618B">
        <w:rPr>
          <w:rFonts w:ascii="Times New Roman" w:hAnsi="Times New Roman" w:cs="Times New Roman"/>
          <w:shd w:val="clear" w:color="auto" w:fill="FFFFFF"/>
        </w:rPr>
        <w:t xml:space="preserve"> Poor glycemic management raises the risk of chronic foot ulcers, which ultimately leads to lower-limb amputations as a complication in type 2 diabetic patients. Conversely, good glycemic control is pivotal for decreasing the incidence of amputation or limb loss in </w:t>
      </w:r>
      <w:r w:rsidR="00353CAE" w:rsidRPr="0060618B">
        <w:rPr>
          <w:rFonts w:ascii="Times New Roman" w:hAnsi="Times New Roman" w:cs="Times New Roman"/>
          <w:shd w:val="clear" w:color="auto" w:fill="FFFFFF"/>
        </w:rPr>
        <w:t>T2DM</w:t>
      </w:r>
      <w:r w:rsidRPr="0060618B">
        <w:rPr>
          <w:rFonts w:ascii="Times New Roman" w:hAnsi="Times New Roman" w:cs="Times New Roman"/>
          <w:shd w:val="clear" w:color="auto" w:fill="FFFFFF"/>
        </w:rPr>
        <w:t xml:space="preserve"> patients.</w:t>
      </w:r>
      <w:r w:rsidRPr="0060618B">
        <w:rPr>
          <w:rFonts w:ascii="Times New Roman" w:hAnsi="Times New Roman" w:cs="Times New Roman"/>
          <w:shd w:val="clear" w:color="auto" w:fill="FFFFFF"/>
          <w:vertAlign w:val="superscript"/>
        </w:rPr>
        <w:t>16,</w:t>
      </w:r>
      <w:r w:rsidR="00224AEC" w:rsidRPr="0060618B">
        <w:rPr>
          <w:rFonts w:ascii="Times New Roman" w:hAnsi="Times New Roman" w:cs="Times New Roman"/>
          <w:shd w:val="clear" w:color="auto" w:fill="FFFFFF"/>
          <w:vertAlign w:val="superscript"/>
        </w:rPr>
        <w:t>6</w:t>
      </w:r>
      <w:r w:rsidRPr="0060618B">
        <w:rPr>
          <w:rFonts w:ascii="Times New Roman" w:hAnsi="Times New Roman" w:cs="Times New Roman"/>
          <w:shd w:val="clear" w:color="auto" w:fill="FFFFFF"/>
        </w:rPr>
        <w:t xml:space="preserve"> HbA1c significantly contributes to the overproduction of superoxide anions and hydroxyl radicals.</w:t>
      </w:r>
      <w:r w:rsidR="007849C0" w:rsidRPr="0060618B">
        <w:rPr>
          <w:rFonts w:ascii="Times New Roman" w:hAnsi="Times New Roman" w:cs="Times New Roman"/>
          <w:shd w:val="clear" w:color="auto" w:fill="FFFFFF"/>
          <w:vertAlign w:val="superscript"/>
        </w:rPr>
        <w:t>6</w:t>
      </w:r>
      <w:r w:rsidR="002168FC" w:rsidRPr="0060618B">
        <w:rPr>
          <w:rFonts w:ascii="Times New Roman" w:hAnsi="Times New Roman" w:cs="Times New Roman"/>
          <w:shd w:val="clear" w:color="auto" w:fill="FFFFFF"/>
          <w:vertAlign w:val="superscript"/>
        </w:rPr>
        <w:t xml:space="preserve"> </w:t>
      </w:r>
      <w:r w:rsidRPr="0060618B">
        <w:rPr>
          <w:rFonts w:ascii="Times New Roman" w:hAnsi="Times New Roman" w:cs="Times New Roman"/>
          <w:shd w:val="clear" w:color="auto" w:fill="FFFFFF"/>
        </w:rPr>
        <w:t xml:space="preserve">These reactive oxygen species (ROS) can cause various cellular injuries. The findings of the present investigation </w:t>
      </w:r>
      <w:r w:rsidR="00353CAE" w:rsidRPr="0060618B">
        <w:rPr>
          <w:rFonts w:ascii="Times New Roman" w:hAnsi="Times New Roman" w:cs="Times New Roman"/>
          <w:shd w:val="clear" w:color="auto" w:fill="FFFFFF"/>
        </w:rPr>
        <w:t>observed</w:t>
      </w:r>
      <w:r w:rsidR="00A04525" w:rsidRPr="0060618B">
        <w:rPr>
          <w:rFonts w:ascii="Times New Roman" w:hAnsi="Times New Roman" w:cs="Times New Roman"/>
          <w:shd w:val="clear" w:color="auto" w:fill="FFFFFF"/>
        </w:rPr>
        <w:t xml:space="preserve"> </w:t>
      </w:r>
      <w:r w:rsidR="007035E4" w:rsidRPr="0060618B">
        <w:rPr>
          <w:rFonts w:ascii="Times New Roman" w:hAnsi="Times New Roman" w:cs="Times New Roman"/>
          <w:shd w:val="clear" w:color="auto" w:fill="FFFFFF"/>
        </w:rPr>
        <w:t xml:space="preserve">significant differences </w:t>
      </w:r>
      <w:r w:rsidRPr="0060618B">
        <w:rPr>
          <w:rFonts w:ascii="Times New Roman" w:hAnsi="Times New Roman" w:cs="Times New Roman"/>
          <w:shd w:val="clear" w:color="auto" w:fill="FFFFFF"/>
        </w:rPr>
        <w:t>(p &lt;</w:t>
      </w:r>
      <w:r w:rsidR="006A6EB9" w:rsidRPr="0060618B">
        <w:rPr>
          <w:rFonts w:ascii="Times New Roman" w:hAnsi="Times New Roman" w:cs="Times New Roman"/>
          <w:shd w:val="clear" w:color="auto" w:fill="FFFFFF"/>
        </w:rPr>
        <w:t xml:space="preserve"> 0.05) in </w:t>
      </w:r>
      <w:r w:rsidRPr="0060618B">
        <w:rPr>
          <w:rFonts w:ascii="Times New Roman" w:hAnsi="Times New Roman" w:cs="Times New Roman"/>
          <w:shd w:val="clear" w:color="auto" w:fill="FFFFFF"/>
        </w:rPr>
        <w:t>SOD concentrations across all three groups, as shown in Table 2. SOD levels displayed a strong association with a diminished possibility of developing diabetes [OR=0.91* (C. I=0.88-0.94)], s</w:t>
      </w:r>
      <w:r w:rsidR="007035E4" w:rsidRPr="0060618B">
        <w:rPr>
          <w:rFonts w:ascii="Times New Roman" w:hAnsi="Times New Roman" w:cs="Times New Roman"/>
          <w:shd w:val="clear" w:color="auto" w:fill="FFFFFF"/>
        </w:rPr>
        <w:t>uggesting protect</w:t>
      </w:r>
      <w:r w:rsidRPr="0060618B">
        <w:rPr>
          <w:rFonts w:ascii="Times New Roman" w:hAnsi="Times New Roman" w:cs="Times New Roman"/>
          <w:shd w:val="clear" w:color="auto" w:fill="FFFFFF"/>
        </w:rPr>
        <w:t>ive advantages for the healthy group</w:t>
      </w:r>
      <w:r w:rsidR="007035E4" w:rsidRPr="0060618B">
        <w:rPr>
          <w:rFonts w:ascii="Times New Roman" w:hAnsi="Times New Roman" w:cs="Times New Roman"/>
          <w:shd w:val="clear" w:color="auto" w:fill="FFFFFF"/>
        </w:rPr>
        <w:t>,</w:t>
      </w:r>
      <w:r w:rsidRPr="0060618B">
        <w:rPr>
          <w:rFonts w:ascii="Times New Roman" w:hAnsi="Times New Roman" w:cs="Times New Roman"/>
          <w:shd w:val="clear" w:color="auto" w:fill="FFFFFF"/>
        </w:rPr>
        <w:t xml:space="preserve"> </w:t>
      </w:r>
      <w:r w:rsidR="007035E4" w:rsidRPr="0060618B">
        <w:rPr>
          <w:rFonts w:ascii="Times New Roman" w:hAnsi="Times New Roman" w:cs="Times New Roman"/>
          <w:shd w:val="clear" w:color="auto" w:fill="FFFFFF"/>
        </w:rPr>
        <w:t xml:space="preserve">as </w:t>
      </w:r>
      <w:r w:rsidRPr="0060618B">
        <w:rPr>
          <w:rFonts w:ascii="Times New Roman" w:hAnsi="Times New Roman" w:cs="Times New Roman"/>
          <w:shd w:val="clear" w:color="auto" w:fill="FFFFFF"/>
        </w:rPr>
        <w:t xml:space="preserve">shown in Table 3. Moreover, participants with T2DM showed a lower chance or </w:t>
      </w:r>
      <w:r w:rsidR="00353CAE" w:rsidRPr="0060618B">
        <w:rPr>
          <w:rFonts w:ascii="Times New Roman" w:hAnsi="Times New Roman" w:cs="Times New Roman"/>
          <w:shd w:val="clear" w:color="auto" w:fill="FFFFFF"/>
        </w:rPr>
        <w:t>protective</w:t>
      </w:r>
      <w:r w:rsidRPr="0060618B">
        <w:rPr>
          <w:rFonts w:ascii="Times New Roman" w:hAnsi="Times New Roman" w:cs="Times New Roman"/>
          <w:shd w:val="clear" w:color="auto" w:fill="FFFFFF"/>
        </w:rPr>
        <w:t xml:space="preserve"> association [OR=0.87* (C. I=0.84-0.91)] of encountering foot ulcers (Table 3). </w:t>
      </w:r>
      <w:r w:rsidRPr="00786E87">
        <w:rPr>
          <w:rFonts w:ascii="Times New Roman" w:hAnsi="Times New Roman" w:cs="Times New Roman"/>
          <w:shd w:val="clear" w:color="auto" w:fill="FFFFFF"/>
        </w:rPr>
        <w:t>Mossanda et al.</w:t>
      </w:r>
      <w:r w:rsidRPr="0060618B">
        <w:rPr>
          <w:rFonts w:ascii="Times New Roman" w:hAnsi="Times New Roman" w:cs="Times New Roman"/>
          <w:b/>
          <w:shd w:val="clear" w:color="auto" w:fill="FFFFFF"/>
        </w:rPr>
        <w:t xml:space="preserve"> </w:t>
      </w:r>
      <w:r w:rsidRPr="0060618B">
        <w:rPr>
          <w:rFonts w:ascii="Times New Roman" w:hAnsi="Times New Roman" w:cs="Times New Roman"/>
          <w:shd w:val="clear" w:color="auto" w:fill="FFFFFF"/>
        </w:rPr>
        <w:t>indicated that individuals with diabetes and diabetic foot ulcers displayed decreased SOD activity compared to the healthy group (group 1).</w:t>
      </w:r>
      <w:r w:rsidRPr="0060618B">
        <w:rPr>
          <w:rFonts w:ascii="Times New Roman" w:hAnsi="Times New Roman" w:cs="Times New Roman"/>
          <w:shd w:val="clear" w:color="auto" w:fill="FFFFFF"/>
          <w:vertAlign w:val="superscript"/>
        </w:rPr>
        <w:t>17</w:t>
      </w:r>
      <w:r w:rsidRPr="0060618B">
        <w:rPr>
          <w:rFonts w:ascii="Times New Roman" w:hAnsi="Times New Roman" w:cs="Times New Roman"/>
          <w:shd w:val="clear" w:color="auto" w:fill="FFFFFF"/>
        </w:rPr>
        <w:t xml:space="preserve"> Additionally, </w:t>
      </w:r>
      <w:r w:rsidRPr="00786E87">
        <w:rPr>
          <w:rFonts w:ascii="Times New Roman" w:hAnsi="Times New Roman" w:cs="Times New Roman"/>
          <w:shd w:val="clear" w:color="auto" w:fill="FFFFFF"/>
        </w:rPr>
        <w:t>Vairamon et al.</w:t>
      </w:r>
      <w:r w:rsidRPr="0060618B">
        <w:rPr>
          <w:rFonts w:ascii="Times New Roman" w:hAnsi="Times New Roman" w:cs="Times New Roman"/>
          <w:shd w:val="clear" w:color="auto" w:fill="FFFFFF"/>
        </w:rPr>
        <w:t xml:space="preserve"> observed a gradual reduction in overall antioxidant activity in both T2DM (group 2) and patients with foot ulcers (group 3), corroborating their research outcomes (p &lt; 0.01).</w:t>
      </w:r>
      <w:r w:rsidRPr="0060618B">
        <w:rPr>
          <w:rFonts w:ascii="Times New Roman" w:hAnsi="Times New Roman" w:cs="Times New Roman"/>
          <w:shd w:val="clear" w:color="auto" w:fill="FFFFFF"/>
          <w:vertAlign w:val="superscript"/>
        </w:rPr>
        <w:t>18</w:t>
      </w:r>
      <w:r w:rsidRPr="0060618B">
        <w:rPr>
          <w:rFonts w:ascii="Times New Roman" w:hAnsi="Times New Roman" w:cs="Times New Roman"/>
          <w:shd w:val="clear" w:color="auto" w:fill="FFFFFF"/>
        </w:rPr>
        <w:t xml:space="preserve"> However, a </w:t>
      </w:r>
      <w:r w:rsidRPr="00786E87">
        <w:rPr>
          <w:rFonts w:ascii="Times New Roman" w:hAnsi="Times New Roman" w:cs="Times New Roman"/>
          <w:shd w:val="clear" w:color="auto" w:fill="FFFFFF"/>
        </w:rPr>
        <w:t>Nigerian study</w:t>
      </w:r>
      <w:r w:rsidRPr="0060618B">
        <w:rPr>
          <w:rFonts w:ascii="Times New Roman" w:hAnsi="Times New Roman" w:cs="Times New Roman"/>
          <w:shd w:val="clear" w:color="auto" w:fill="FFFFFF"/>
        </w:rPr>
        <w:t xml:space="preserve"> reported non-significant results (P &gt; 0.05) contrary to our observations.</w:t>
      </w:r>
      <w:r w:rsidRPr="0060618B">
        <w:rPr>
          <w:rFonts w:ascii="Times New Roman" w:hAnsi="Times New Roman" w:cs="Times New Roman"/>
          <w:shd w:val="clear" w:color="auto" w:fill="FFFFFF"/>
          <w:vertAlign w:val="superscript"/>
        </w:rPr>
        <w:t>19</w:t>
      </w:r>
      <w:r w:rsidRPr="0060618B">
        <w:rPr>
          <w:rFonts w:ascii="Times New Roman" w:hAnsi="Times New Roman" w:cs="Times New Roman"/>
          <w:shd w:val="clear" w:color="auto" w:fill="FFFFFF"/>
        </w:rPr>
        <w:t xml:space="preserve"> </w:t>
      </w:r>
    </w:p>
    <w:p w14:paraId="352AD3DE" w14:textId="77777777" w:rsidR="004C40F1" w:rsidRPr="0060618B" w:rsidRDefault="004C40F1" w:rsidP="0060618B">
      <w:pPr>
        <w:spacing w:after="0" w:line="276" w:lineRule="auto"/>
        <w:jc w:val="both"/>
        <w:rPr>
          <w:rFonts w:ascii="Times New Roman" w:hAnsi="Times New Roman" w:cs="Times New Roman"/>
          <w:shd w:val="clear" w:color="auto" w:fill="FFFFFF"/>
        </w:rPr>
      </w:pPr>
    </w:p>
    <w:p w14:paraId="689DBDD7" w14:textId="1D81832F" w:rsidR="001D58BF" w:rsidRPr="0060618B" w:rsidRDefault="000D2AF4" w:rsidP="0060618B">
      <w:pPr>
        <w:spacing w:after="0" w:line="276" w:lineRule="auto"/>
        <w:jc w:val="both"/>
        <w:rPr>
          <w:rFonts w:ascii="Times New Roman" w:hAnsi="Times New Roman" w:cs="Times New Roman"/>
          <w:shd w:val="clear" w:color="auto" w:fill="FFFFFF"/>
        </w:rPr>
      </w:pPr>
      <w:r w:rsidRPr="0060618B">
        <w:rPr>
          <w:rFonts w:ascii="Times New Roman" w:hAnsi="Times New Roman" w:cs="Times New Roman"/>
          <w:shd w:val="clear" w:color="auto" w:fill="FFFFFF"/>
        </w:rPr>
        <w:lastRenderedPageBreak/>
        <w:t>In addition, we observed non-</w:t>
      </w:r>
      <w:r w:rsidR="00826378" w:rsidRPr="0060618B">
        <w:rPr>
          <w:rFonts w:ascii="Times New Roman" w:hAnsi="Times New Roman" w:cs="Times New Roman"/>
        </w:rPr>
        <w:t xml:space="preserve"> considerable</w:t>
      </w:r>
      <w:r w:rsidRPr="0060618B">
        <w:rPr>
          <w:rFonts w:ascii="Times New Roman" w:hAnsi="Times New Roman" w:cs="Times New Roman"/>
          <w:shd w:val="clear" w:color="auto" w:fill="FFFFFF"/>
        </w:rPr>
        <w:t xml:space="preserve"> differences (p &gt; 0.903) in median CRP levels among healthy individuals and type 2 diabetics (Table 2). Consistent with our findings, other studies have shown non-significant differences (p &gt; 0.05).</w:t>
      </w:r>
      <w:r w:rsidRPr="0060618B">
        <w:rPr>
          <w:rFonts w:ascii="Times New Roman" w:hAnsi="Times New Roman" w:cs="Times New Roman"/>
          <w:shd w:val="clear" w:color="auto" w:fill="FFFFFF"/>
          <w:vertAlign w:val="superscript"/>
        </w:rPr>
        <w:t>20</w:t>
      </w:r>
      <w:r w:rsidRPr="0060618B">
        <w:rPr>
          <w:rFonts w:ascii="Times New Roman" w:hAnsi="Times New Roman" w:cs="Times New Roman"/>
          <w:shd w:val="clear" w:color="auto" w:fill="FFFFFF"/>
        </w:rPr>
        <w:t xml:space="preserve"> Elevated CRP levels are linked to a higher risk of </w:t>
      </w:r>
      <w:r w:rsidR="00826378" w:rsidRPr="0060618B">
        <w:rPr>
          <w:rFonts w:ascii="Times New Roman" w:hAnsi="Times New Roman" w:cs="Times New Roman"/>
          <w:shd w:val="clear" w:color="auto" w:fill="FFFFFF"/>
        </w:rPr>
        <w:t>T2DM</w:t>
      </w:r>
      <w:r w:rsidRPr="0060618B">
        <w:rPr>
          <w:rFonts w:ascii="Times New Roman" w:hAnsi="Times New Roman" w:cs="Times New Roman"/>
          <w:shd w:val="clear" w:color="auto" w:fill="FFFFFF"/>
        </w:rPr>
        <w:t xml:space="preserve"> [OR=1.04 (C. I=0.99-1.10)]; see Table 3, and they also indicate a higher chance of foot ulcer development in type 2 diabetic patients (DFUs) [OR=1.08* (C. I=1.02-1.13)]; see Table 3. Increased concentrations of CRP, an inflammator</w:t>
      </w:r>
      <w:r w:rsidR="00826378" w:rsidRPr="0060618B">
        <w:rPr>
          <w:rFonts w:ascii="Times New Roman" w:hAnsi="Times New Roman" w:cs="Times New Roman"/>
          <w:shd w:val="clear" w:color="auto" w:fill="FFFFFF"/>
        </w:rPr>
        <w:t xml:space="preserve">y marker, may suggest an increased </w:t>
      </w:r>
      <w:r w:rsidRPr="0060618B">
        <w:rPr>
          <w:rFonts w:ascii="Times New Roman" w:hAnsi="Times New Roman" w:cs="Times New Roman"/>
          <w:shd w:val="clear" w:color="auto" w:fill="FFFFFF"/>
        </w:rPr>
        <w:t>risk of T2DM and foot ulcer development in T2DM patients, reinforcing the connection between inflammation and the underlying mechanisms in the pathogenesis of diabetes and foot ulcer.</w:t>
      </w:r>
      <w:r w:rsidRPr="0060618B">
        <w:rPr>
          <w:rFonts w:ascii="Times New Roman" w:hAnsi="Times New Roman" w:cs="Times New Roman"/>
          <w:shd w:val="clear" w:color="auto" w:fill="FFFFFF"/>
          <w:vertAlign w:val="superscript"/>
        </w:rPr>
        <w:t>21</w:t>
      </w:r>
      <w:r w:rsidRPr="0060618B">
        <w:rPr>
          <w:rFonts w:ascii="Times New Roman" w:hAnsi="Times New Roman" w:cs="Times New Roman"/>
          <w:shd w:val="clear" w:color="auto" w:fill="FFFFFF"/>
        </w:rPr>
        <w:t xml:space="preserve"> The findings of our research demonstrate that diabetic patients with foot ulcer complications have significantly higher neutrophil counts and NLR values than type 2 diabetic patients without complications (Table 3). </w:t>
      </w:r>
      <w:r w:rsidRPr="00786E87">
        <w:rPr>
          <w:rFonts w:ascii="Times New Roman" w:hAnsi="Times New Roman" w:cs="Times New Roman"/>
          <w:shd w:val="clear" w:color="auto" w:fill="FFFFFF"/>
        </w:rPr>
        <w:t>Vujčić</w:t>
      </w:r>
      <w:r w:rsidRPr="0060618B">
        <w:rPr>
          <w:rFonts w:ascii="Times New Roman" w:hAnsi="Times New Roman" w:cs="Times New Roman"/>
          <w:b/>
          <w:shd w:val="clear" w:color="auto" w:fill="FFFFFF"/>
        </w:rPr>
        <w:t xml:space="preserve"> </w:t>
      </w:r>
      <w:r w:rsidRPr="0060618B">
        <w:rPr>
          <w:rFonts w:ascii="Times New Roman" w:hAnsi="Times New Roman" w:cs="Times New Roman"/>
          <w:shd w:val="clear" w:color="auto" w:fill="FFFFFF"/>
        </w:rPr>
        <w:t>and others observed comparable results. An assessment of the NLR may serve as a diagnostic tool for forecasting the incidence of DFU and could function as a biomarker for risk assessment of lower-limb amputation. Multiple recent studies confirm that elevated NLR is significantly associated with ulcer severity, delayed wound healing, and risk of amputation, outperf</w:t>
      </w:r>
      <w:r w:rsidR="00826378" w:rsidRPr="0060618B">
        <w:rPr>
          <w:rFonts w:ascii="Times New Roman" w:hAnsi="Times New Roman" w:cs="Times New Roman"/>
          <w:shd w:val="clear" w:color="auto" w:fill="FFFFFF"/>
        </w:rPr>
        <w:t>orming CRP in prognostic value.</w:t>
      </w:r>
      <w:r w:rsidRPr="0060618B">
        <w:rPr>
          <w:rFonts w:ascii="Times New Roman" w:hAnsi="Times New Roman" w:cs="Times New Roman"/>
          <w:shd w:val="clear" w:color="auto" w:fill="FFFFFF"/>
          <w:vertAlign w:val="superscript"/>
        </w:rPr>
        <w:t>22,23</w:t>
      </w:r>
      <w:r w:rsidR="001D58BF" w:rsidRPr="0060618B">
        <w:rPr>
          <w:rFonts w:ascii="Times New Roman" w:hAnsi="Times New Roman" w:cs="Times New Roman"/>
          <w:shd w:val="clear" w:color="auto" w:fill="FFFFFF"/>
          <w:vertAlign w:val="superscript"/>
        </w:rPr>
        <w:t xml:space="preserve"> </w:t>
      </w:r>
      <w:r w:rsidR="007035E4" w:rsidRPr="0060618B">
        <w:rPr>
          <w:rFonts w:ascii="Times New Roman" w:hAnsi="Times New Roman" w:cs="Times New Roman"/>
          <w:shd w:val="clear" w:color="auto" w:fill="FFFFFF"/>
          <w:vertAlign w:val="superscript"/>
        </w:rPr>
        <w:t xml:space="preserve"> </w:t>
      </w:r>
      <w:r w:rsidR="001D58BF" w:rsidRPr="0060618B">
        <w:rPr>
          <w:rFonts w:ascii="Times New Roman" w:hAnsi="Times New Roman" w:cs="Times New Roman"/>
          <w:shd w:val="clear" w:color="auto" w:fill="FFFFFF"/>
        </w:rPr>
        <w:t xml:space="preserve">Diabetic foot ulcers represent a more advanced inflammatory and oxidative state rather than a consequence of hyperglycemia alone. </w:t>
      </w:r>
      <w:r w:rsidR="001D58BF" w:rsidRPr="0060618B">
        <w:rPr>
          <w:rFonts w:ascii="Times New Roman" w:hAnsi="Times New Roman" w:cs="Times New Roman"/>
        </w:rPr>
        <w:t>Chronic inflammation is considered one of the key pathophysiological mechanisms underlying the development of diabetic complications.</w:t>
      </w:r>
      <w:r w:rsidR="001D58BF" w:rsidRPr="0060618B">
        <w:rPr>
          <w:rFonts w:ascii="Times New Roman" w:hAnsi="Times New Roman" w:cs="Times New Roman"/>
          <w:vertAlign w:val="superscript"/>
        </w:rPr>
        <w:t>24</w:t>
      </w:r>
      <w:r w:rsidR="001D58BF" w:rsidRPr="0060618B">
        <w:rPr>
          <w:rFonts w:ascii="Times New Roman" w:hAnsi="Times New Roman" w:cs="Times New Roman"/>
          <w:shd w:val="clear" w:color="auto" w:fill="FFFFFF"/>
        </w:rPr>
        <w:t xml:space="preserve"> </w:t>
      </w:r>
      <w:r w:rsidRPr="0060618B">
        <w:rPr>
          <w:rFonts w:ascii="Times New Roman" w:hAnsi="Times New Roman" w:cs="Times New Roman"/>
          <w:shd w:val="clear" w:color="auto" w:fill="FFFFFF"/>
        </w:rPr>
        <w:t>As currently proposed, these biochemical markers could play a significant role in diagnostic, prognostic, and predictive value in the incidence of complications in diabetic patients, which is associated with simultaneous infections or sepsis, along with the likelihood of lower-limb amputation and post-surgical morbidity or mortality.</w:t>
      </w:r>
      <w:r w:rsidRPr="0060618B">
        <w:rPr>
          <w:rFonts w:ascii="Times New Roman" w:hAnsi="Times New Roman" w:cs="Times New Roman"/>
          <w:shd w:val="clear" w:color="auto" w:fill="FFFFFF"/>
          <w:vertAlign w:val="superscript"/>
        </w:rPr>
        <w:t>12</w:t>
      </w:r>
      <w:r w:rsidRPr="0060618B">
        <w:rPr>
          <w:rFonts w:ascii="Times New Roman" w:hAnsi="Times New Roman" w:cs="Times New Roman"/>
          <w:shd w:val="clear" w:color="auto" w:fill="FFFFFF"/>
        </w:rPr>
        <w:t xml:space="preserve"> </w:t>
      </w:r>
      <w:r w:rsidR="00C84209" w:rsidRPr="00C84209">
        <w:rPr>
          <w:rFonts w:ascii="Times New Roman" w:hAnsi="Times New Roman" w:cs="Times New Roman"/>
          <w:shd w:val="clear" w:color="auto" w:fill="FFFFFF"/>
        </w:rPr>
        <w:t>It is Cross-sectional design prevents causal inference, with single-center study limits generalizability, the sample size was relatively small, and only one SOD antioxidant was evaluated.</w:t>
      </w:r>
    </w:p>
    <w:p w14:paraId="2755B506" w14:textId="69715DBC" w:rsidR="008A26F2" w:rsidRPr="0060618B" w:rsidRDefault="001D58BF" w:rsidP="0060618B">
      <w:pPr>
        <w:spacing w:after="0" w:line="276" w:lineRule="auto"/>
        <w:jc w:val="both"/>
        <w:rPr>
          <w:rFonts w:ascii="Times New Roman" w:eastAsia="Times New Roman" w:hAnsi="Times New Roman" w:cs="Times New Roman"/>
        </w:rPr>
      </w:pPr>
      <w:r w:rsidRPr="00786E87">
        <w:rPr>
          <w:rFonts w:ascii="Times New Roman" w:hAnsi="Times New Roman" w:cs="Times New Roman"/>
          <w:b/>
        </w:rPr>
        <w:t>Conclusion</w:t>
      </w:r>
      <w:r w:rsidR="00F06AE9" w:rsidRPr="00786E87">
        <w:rPr>
          <w:rFonts w:ascii="Times New Roman" w:hAnsi="Times New Roman" w:cs="Times New Roman"/>
          <w:b/>
        </w:rPr>
        <w:t>:</w:t>
      </w:r>
      <w:r w:rsidR="00F06AE9" w:rsidRPr="0060618B">
        <w:rPr>
          <w:rFonts w:ascii="Times New Roman" w:hAnsi="Times New Roman" w:cs="Times New Roman"/>
        </w:rPr>
        <w:t xml:space="preserve"> </w:t>
      </w:r>
      <w:r w:rsidR="009B7F9E" w:rsidRPr="0060618B">
        <w:rPr>
          <w:rFonts w:ascii="Times New Roman" w:hAnsi="Times New Roman" w:cs="Times New Roman"/>
        </w:rPr>
        <w:t>T</w:t>
      </w:r>
      <w:r w:rsidR="008A26F2" w:rsidRPr="0060618B">
        <w:rPr>
          <w:rFonts w:ascii="Times New Roman" w:eastAsia="Times New Roman" w:hAnsi="Times New Roman" w:cs="Times New Roman"/>
        </w:rPr>
        <w:t xml:space="preserve">hese findings suggest that </w:t>
      </w:r>
      <w:r w:rsidR="000A6D05" w:rsidRPr="0060618B">
        <w:rPr>
          <w:rFonts w:ascii="Times New Roman" w:eastAsia="Times New Roman" w:hAnsi="Times New Roman" w:cs="Times New Roman"/>
        </w:rPr>
        <w:t xml:space="preserve">chronic </w:t>
      </w:r>
      <w:r w:rsidR="008A26F2" w:rsidRPr="0060618B">
        <w:rPr>
          <w:rFonts w:ascii="Times New Roman" w:eastAsia="Times New Roman" w:hAnsi="Times New Roman" w:cs="Times New Roman"/>
        </w:rPr>
        <w:t xml:space="preserve">inflammation and </w:t>
      </w:r>
      <w:r w:rsidR="000A6D05" w:rsidRPr="0060618B">
        <w:rPr>
          <w:rFonts w:ascii="Times New Roman" w:eastAsia="Times New Roman" w:hAnsi="Times New Roman" w:cs="Times New Roman"/>
        </w:rPr>
        <w:t xml:space="preserve">increased </w:t>
      </w:r>
      <w:r w:rsidR="008A26F2" w:rsidRPr="0060618B">
        <w:rPr>
          <w:rFonts w:ascii="Times New Roman" w:eastAsia="Times New Roman" w:hAnsi="Times New Roman" w:cs="Times New Roman"/>
        </w:rPr>
        <w:t xml:space="preserve">oxidative stress are key drivers of </w:t>
      </w:r>
      <w:r w:rsidR="000A6D05" w:rsidRPr="0060618B">
        <w:rPr>
          <w:rFonts w:ascii="Times New Roman" w:eastAsia="Times New Roman" w:hAnsi="Times New Roman" w:cs="Times New Roman"/>
        </w:rPr>
        <w:t xml:space="preserve">foot ulcer development in T2DM patients </w:t>
      </w:r>
      <w:r w:rsidR="008A26F2" w:rsidRPr="0060618B">
        <w:rPr>
          <w:rFonts w:ascii="Times New Roman" w:eastAsia="Times New Roman" w:hAnsi="Times New Roman" w:cs="Times New Roman"/>
        </w:rPr>
        <w:t>beyond hyperglycemia alone</w:t>
      </w:r>
      <w:r w:rsidR="008A26F2" w:rsidRPr="0060618B">
        <w:rPr>
          <w:rFonts w:ascii="Times New Roman" w:eastAsia="Times New Roman" w:hAnsi="Times New Roman" w:cs="Times New Roman"/>
          <w:b/>
        </w:rPr>
        <w:t xml:space="preserve">. </w:t>
      </w:r>
      <w:r w:rsidR="00C1729A" w:rsidRPr="0060618B">
        <w:rPr>
          <w:rStyle w:val="Strong"/>
          <w:rFonts w:ascii="Times New Roman" w:hAnsi="Times New Roman" w:cs="Times New Roman"/>
          <w:b w:val="0"/>
        </w:rPr>
        <w:t>SOD demonstrated a protective association</w:t>
      </w:r>
      <w:r w:rsidR="00267F19" w:rsidRPr="0060618B">
        <w:rPr>
          <w:rStyle w:val="Strong"/>
          <w:rFonts w:ascii="Times New Roman" w:hAnsi="Times New Roman" w:cs="Times New Roman"/>
          <w:b w:val="0"/>
        </w:rPr>
        <w:t>,</w:t>
      </w:r>
      <w:r w:rsidR="00C1729A" w:rsidRPr="0060618B">
        <w:rPr>
          <w:rStyle w:val="Strong"/>
          <w:rFonts w:ascii="Times New Roman" w:hAnsi="Times New Roman" w:cs="Times New Roman"/>
          <w:b w:val="0"/>
        </w:rPr>
        <w:t xml:space="preserve"> whereas HbA1c, CRP, and NLR emerged as significant predictors of DFU</w:t>
      </w:r>
      <w:r w:rsidR="00267F19" w:rsidRPr="0060618B">
        <w:rPr>
          <w:rStyle w:val="Strong"/>
          <w:rFonts w:ascii="Times New Roman" w:hAnsi="Times New Roman" w:cs="Times New Roman"/>
          <w:b w:val="0"/>
        </w:rPr>
        <w:t xml:space="preserve"> </w:t>
      </w:r>
      <w:r w:rsidR="00267F19" w:rsidRPr="0060618B">
        <w:rPr>
          <w:rFonts w:ascii="Times New Roman" w:eastAsia="Times New Roman" w:hAnsi="Times New Roman" w:cs="Times New Roman"/>
        </w:rPr>
        <w:t>in T2DM patients</w:t>
      </w:r>
      <w:r w:rsidR="00C1729A" w:rsidRPr="0060618B">
        <w:rPr>
          <w:rStyle w:val="Strong"/>
          <w:rFonts w:ascii="Times New Roman" w:hAnsi="Times New Roman" w:cs="Times New Roman"/>
          <w:b w:val="0"/>
        </w:rPr>
        <w:t>.</w:t>
      </w:r>
    </w:p>
    <w:p w14:paraId="71F893C3" w14:textId="77777777" w:rsidR="006261BF" w:rsidRPr="00786E87" w:rsidRDefault="006261BF" w:rsidP="0060618B">
      <w:pPr>
        <w:spacing w:after="0" w:line="276" w:lineRule="auto"/>
        <w:jc w:val="both"/>
        <w:rPr>
          <w:rFonts w:ascii="Times New Roman" w:hAnsi="Times New Roman" w:cs="Times New Roman"/>
          <w:i/>
          <w:shd w:val="clear" w:color="auto" w:fill="FFFFFF"/>
        </w:rPr>
      </w:pPr>
      <w:r w:rsidRPr="00786E87">
        <w:rPr>
          <w:rFonts w:ascii="Times New Roman" w:hAnsi="Times New Roman" w:cs="Times New Roman"/>
          <w:i/>
          <w:shd w:val="clear" w:color="auto" w:fill="FFFFFF"/>
        </w:rPr>
        <w:t>Recommendations:</w:t>
      </w:r>
    </w:p>
    <w:p w14:paraId="6849A49C" w14:textId="77777777" w:rsidR="006261BF" w:rsidRPr="0060618B" w:rsidRDefault="006261BF" w:rsidP="0060618B">
      <w:pPr>
        <w:spacing w:after="0" w:line="276" w:lineRule="auto"/>
        <w:jc w:val="both"/>
        <w:rPr>
          <w:rFonts w:ascii="Times New Roman" w:hAnsi="Times New Roman" w:cs="Times New Roman"/>
          <w:shd w:val="clear" w:color="auto" w:fill="FFFFFF"/>
        </w:rPr>
      </w:pPr>
      <w:r w:rsidRPr="0060618B">
        <w:rPr>
          <w:rFonts w:ascii="Times New Roman" w:hAnsi="Times New Roman" w:cs="Times New Roman"/>
          <w:shd w:val="clear" w:color="auto" w:fill="FFFFFF"/>
        </w:rPr>
        <w:t>1. Conduct genetic research on SOD.</w:t>
      </w:r>
    </w:p>
    <w:p w14:paraId="6C3CEFC7" w14:textId="77777777" w:rsidR="006261BF" w:rsidRPr="0060618B" w:rsidRDefault="006261BF" w:rsidP="0060618B">
      <w:pPr>
        <w:spacing w:after="0" w:line="276" w:lineRule="auto"/>
        <w:jc w:val="both"/>
        <w:rPr>
          <w:rFonts w:ascii="Times New Roman" w:hAnsi="Times New Roman" w:cs="Times New Roman"/>
          <w:shd w:val="clear" w:color="auto" w:fill="FFFFFF"/>
        </w:rPr>
      </w:pPr>
      <w:r w:rsidRPr="0060618B">
        <w:rPr>
          <w:rFonts w:ascii="Times New Roman" w:hAnsi="Times New Roman" w:cs="Times New Roman"/>
          <w:shd w:val="clear" w:color="auto" w:fill="FFFFFF"/>
        </w:rPr>
        <w:t>2. Increase sample size of the study.</w:t>
      </w:r>
    </w:p>
    <w:p w14:paraId="78C78FD6" w14:textId="77777777" w:rsidR="006261BF" w:rsidRPr="0060618B" w:rsidRDefault="006261BF" w:rsidP="0060618B">
      <w:pPr>
        <w:spacing w:after="0" w:line="276" w:lineRule="auto"/>
        <w:jc w:val="both"/>
        <w:rPr>
          <w:rFonts w:ascii="Times New Roman" w:hAnsi="Times New Roman" w:cs="Times New Roman"/>
          <w:shd w:val="clear" w:color="auto" w:fill="FFFFFF"/>
        </w:rPr>
      </w:pPr>
      <w:r w:rsidRPr="0060618B">
        <w:rPr>
          <w:rFonts w:ascii="Times New Roman" w:hAnsi="Times New Roman" w:cs="Times New Roman"/>
          <w:shd w:val="clear" w:color="auto" w:fill="FFFFFF"/>
        </w:rPr>
        <w:t>3. Furthermore, timely detection of risk factors in individuals with diabetes is essential for preventing foot ulcers and delaying limb amputations.</w:t>
      </w:r>
    </w:p>
    <w:p w14:paraId="58EB89FE" w14:textId="77777777" w:rsidR="00DC70CB" w:rsidRPr="0060618B" w:rsidRDefault="00DC70CB" w:rsidP="0060618B">
      <w:pPr>
        <w:spacing w:after="0" w:line="276" w:lineRule="auto"/>
        <w:rPr>
          <w:rFonts w:ascii="Times New Roman" w:hAnsi="Times New Roman" w:cs="Times New Roman"/>
        </w:rPr>
      </w:pPr>
    </w:p>
    <w:p w14:paraId="3EC2E102" w14:textId="5248F5BE" w:rsidR="00786E87" w:rsidRPr="00B25306" w:rsidRDefault="00786E87" w:rsidP="00786E87">
      <w:pPr>
        <w:spacing w:after="0"/>
        <w:rPr>
          <w:rFonts w:ascii="Times New Roman" w:hAnsi="Times New Roman" w:cs="Times New Roman"/>
        </w:rPr>
      </w:pPr>
      <w:r w:rsidRPr="00FE2D8E">
        <w:rPr>
          <w:rFonts w:ascii="Times New Roman" w:hAnsi="Times New Roman" w:cs="Times New Roman"/>
          <w:b/>
          <w:bCs/>
        </w:rPr>
        <w:t xml:space="preserve">Ethical Approval: </w:t>
      </w:r>
      <w:r w:rsidRPr="00FE2D8E">
        <w:rPr>
          <w:rFonts w:ascii="Times New Roman" w:hAnsi="Times New Roman" w:cs="Times New Roman"/>
        </w:rPr>
        <w:t>The IRB/EC approved this study via letter no.</w:t>
      </w:r>
      <w:r w:rsidR="00345BC6">
        <w:rPr>
          <w:rFonts w:ascii="Times New Roman" w:hAnsi="Times New Roman" w:cs="Times New Roman"/>
        </w:rPr>
        <w:t xml:space="preserve"> Ref. BMU</w:t>
      </w:r>
      <w:r w:rsidR="008F3874">
        <w:rPr>
          <w:rFonts w:ascii="Times New Roman" w:hAnsi="Times New Roman" w:cs="Times New Roman"/>
        </w:rPr>
        <w:t>-EC/01/2023</w:t>
      </w:r>
      <w:r w:rsidR="005270B8">
        <w:rPr>
          <w:rFonts w:ascii="Times New Roman" w:hAnsi="Times New Roman" w:cs="Times New Roman"/>
        </w:rPr>
        <w:t>, dated February 2</w:t>
      </w:r>
      <w:r w:rsidR="00627CED">
        <w:rPr>
          <w:rFonts w:ascii="Times New Roman" w:hAnsi="Times New Roman" w:cs="Times New Roman"/>
        </w:rPr>
        <w:t>3, 2023.</w:t>
      </w:r>
      <w:r w:rsidRPr="00FE2D8E">
        <w:rPr>
          <w:rFonts w:ascii="Times New Roman" w:hAnsi="Times New Roman" w:cs="Times New Roman"/>
        </w:rPr>
        <w:t xml:space="preserve"> </w:t>
      </w:r>
    </w:p>
    <w:p w14:paraId="553EF1E0" w14:textId="77777777" w:rsidR="00786E87" w:rsidRPr="00FE2D8E" w:rsidRDefault="00786E87" w:rsidP="00786E87">
      <w:pPr>
        <w:spacing w:after="0"/>
        <w:rPr>
          <w:rFonts w:ascii="Times New Roman" w:hAnsi="Times New Roman" w:cs="Times New Roman"/>
          <w:b/>
          <w:bCs/>
        </w:rPr>
      </w:pPr>
      <w:r w:rsidRPr="00FE2D8E">
        <w:rPr>
          <w:rFonts w:ascii="Times New Roman" w:hAnsi="Times New Roman" w:cs="Times New Roman"/>
          <w:b/>
          <w:bCs/>
        </w:rPr>
        <w:t xml:space="preserve">Conflict of Interest: </w:t>
      </w:r>
      <w:r w:rsidRPr="00FE2D8E">
        <w:rPr>
          <w:rFonts w:ascii="Times New Roman" w:hAnsi="Times New Roman" w:cs="Times New Roman"/>
          <w:b/>
          <w:bCs/>
        </w:rPr>
        <w:tab/>
      </w:r>
      <w:r w:rsidRPr="00FE2D8E">
        <w:rPr>
          <w:rFonts w:ascii="Times New Roman" w:hAnsi="Times New Roman" w:cs="Times New Roman"/>
          <w:b/>
          <w:bCs/>
        </w:rPr>
        <w:tab/>
      </w:r>
      <w:r>
        <w:rPr>
          <w:rFonts w:ascii="Times New Roman" w:hAnsi="Times New Roman" w:cs="Times New Roman"/>
          <w:b/>
          <w:bCs/>
        </w:rPr>
        <w:tab/>
      </w:r>
      <w:r w:rsidRPr="00FE2D8E">
        <w:rPr>
          <w:rFonts w:ascii="Times New Roman" w:hAnsi="Times New Roman" w:cs="Times New Roman"/>
        </w:rPr>
        <w:t>None</w:t>
      </w:r>
      <w:r w:rsidRPr="00FE2D8E">
        <w:rPr>
          <w:rFonts w:ascii="Times New Roman" w:hAnsi="Times New Roman" w:cs="Times New Roman"/>
          <w:b/>
          <w:bCs/>
        </w:rPr>
        <w:t xml:space="preserve"> </w:t>
      </w:r>
    </w:p>
    <w:p w14:paraId="6AD20AA5" w14:textId="77777777" w:rsidR="00786E87" w:rsidRPr="00FE2D8E" w:rsidRDefault="00786E87" w:rsidP="00786E87">
      <w:pPr>
        <w:spacing w:after="0"/>
        <w:rPr>
          <w:rFonts w:ascii="Times New Roman" w:hAnsi="Times New Roman" w:cs="Times New Roman"/>
          <w:b/>
          <w:bCs/>
        </w:rPr>
      </w:pPr>
      <w:r w:rsidRPr="00FE2D8E">
        <w:rPr>
          <w:rFonts w:ascii="Times New Roman" w:hAnsi="Times New Roman" w:cs="Times New Roman"/>
          <w:b/>
          <w:bCs/>
        </w:rPr>
        <w:t xml:space="preserve">Funding Source: </w:t>
      </w:r>
      <w:r w:rsidRPr="00FE2D8E">
        <w:rPr>
          <w:rFonts w:ascii="Times New Roman" w:hAnsi="Times New Roman" w:cs="Times New Roman"/>
          <w:b/>
          <w:bCs/>
        </w:rPr>
        <w:tab/>
      </w:r>
      <w:r w:rsidRPr="00FE2D8E">
        <w:rPr>
          <w:rFonts w:ascii="Times New Roman" w:hAnsi="Times New Roman" w:cs="Times New Roman"/>
          <w:b/>
          <w:bCs/>
        </w:rPr>
        <w:tab/>
      </w:r>
      <w:r w:rsidRPr="00FE2D8E">
        <w:rPr>
          <w:rFonts w:ascii="Times New Roman" w:hAnsi="Times New Roman" w:cs="Times New Roman"/>
          <w:b/>
          <w:bCs/>
        </w:rPr>
        <w:tab/>
      </w:r>
      <w:r w:rsidRPr="00FE2D8E">
        <w:rPr>
          <w:rFonts w:ascii="Times New Roman" w:hAnsi="Times New Roman" w:cs="Times New Roman"/>
        </w:rPr>
        <w:t xml:space="preserve">None </w:t>
      </w:r>
      <w:r w:rsidRPr="00FE2D8E">
        <w:rPr>
          <w:rFonts w:ascii="Times New Roman" w:hAnsi="Times New Roman" w:cs="Times New Roman"/>
          <w:b/>
          <w:bCs/>
        </w:rPr>
        <w:t xml:space="preserve">  </w:t>
      </w:r>
    </w:p>
    <w:p w14:paraId="16EF47D7" w14:textId="77777777" w:rsidR="00786E87" w:rsidRPr="00FE2D8E" w:rsidRDefault="00786E87" w:rsidP="00786E87">
      <w:pPr>
        <w:spacing w:after="0"/>
        <w:rPr>
          <w:rFonts w:ascii="Times New Roman" w:hAnsi="Times New Roman" w:cs="Times New Roman"/>
          <w:b/>
          <w:bCs/>
        </w:rPr>
      </w:pPr>
      <w:r w:rsidRPr="00FE2D8E">
        <w:rPr>
          <w:rFonts w:ascii="Times New Roman" w:hAnsi="Times New Roman" w:cs="Times New Roman"/>
          <w:b/>
          <w:bCs/>
        </w:rPr>
        <w:t>Authors’ Contribution</w:t>
      </w:r>
    </w:p>
    <w:p w14:paraId="74A3CC28" w14:textId="77777777" w:rsidR="00786E87" w:rsidRPr="00FE2D8E" w:rsidRDefault="00786E87" w:rsidP="00786E87">
      <w:pPr>
        <w:spacing w:after="0"/>
        <w:rPr>
          <w:rFonts w:ascii="Times New Roman" w:hAnsi="Times New Roman" w:cs="Times New Roman"/>
        </w:rPr>
      </w:pPr>
      <w:r>
        <w:rPr>
          <w:rFonts w:ascii="Times New Roman" w:hAnsi="Times New Roman" w:cs="Times New Roman"/>
        </w:rPr>
        <w:t>SUA</w:t>
      </w:r>
      <w:r w:rsidRPr="00FE2D8E">
        <w:rPr>
          <w:rFonts w:ascii="Times New Roman" w:hAnsi="Times New Roman" w:cs="Times New Roman"/>
        </w:rPr>
        <w:t xml:space="preserve">: Conception. </w:t>
      </w:r>
    </w:p>
    <w:p w14:paraId="4ADC1E8E" w14:textId="77777777" w:rsidR="00786E87" w:rsidRPr="00FE2D8E" w:rsidRDefault="00786E87" w:rsidP="00786E87">
      <w:pPr>
        <w:spacing w:after="0"/>
        <w:rPr>
          <w:rFonts w:ascii="Times New Roman" w:hAnsi="Times New Roman" w:cs="Times New Roman"/>
        </w:rPr>
      </w:pPr>
      <w:r>
        <w:rPr>
          <w:rFonts w:ascii="Times New Roman" w:hAnsi="Times New Roman" w:cs="Times New Roman"/>
        </w:rPr>
        <w:t>QS, RAS</w:t>
      </w:r>
      <w:r w:rsidRPr="00FE2D8E">
        <w:rPr>
          <w:rFonts w:ascii="Times New Roman" w:hAnsi="Times New Roman" w:cs="Times New Roman"/>
        </w:rPr>
        <w:t>: Design of the work.</w:t>
      </w:r>
    </w:p>
    <w:p w14:paraId="798D0985" w14:textId="77777777" w:rsidR="00786E87" w:rsidRPr="00FE2D8E" w:rsidRDefault="00786E87" w:rsidP="00786E87">
      <w:pPr>
        <w:spacing w:after="0"/>
        <w:rPr>
          <w:rFonts w:ascii="Times New Roman" w:hAnsi="Times New Roman" w:cs="Times New Roman"/>
        </w:rPr>
      </w:pPr>
      <w:r>
        <w:rPr>
          <w:rFonts w:ascii="Times New Roman" w:hAnsi="Times New Roman" w:cs="Times New Roman"/>
        </w:rPr>
        <w:t>UT, JL, BZ</w:t>
      </w:r>
      <w:r w:rsidRPr="00FE2D8E">
        <w:rPr>
          <w:rFonts w:ascii="Times New Roman" w:hAnsi="Times New Roman" w:cs="Times New Roman"/>
        </w:rPr>
        <w:t xml:space="preserve">: Data acquisition, analysis, or interpretation. </w:t>
      </w:r>
    </w:p>
    <w:p w14:paraId="32B32EA6" w14:textId="77777777" w:rsidR="00786E87" w:rsidRPr="00FE2D8E" w:rsidRDefault="00786E87" w:rsidP="00786E87">
      <w:pPr>
        <w:spacing w:after="0"/>
        <w:rPr>
          <w:rFonts w:ascii="Times New Roman" w:hAnsi="Times New Roman" w:cs="Times New Roman"/>
        </w:rPr>
      </w:pPr>
      <w:r>
        <w:rPr>
          <w:rFonts w:ascii="Times New Roman" w:hAnsi="Times New Roman" w:cs="Times New Roman"/>
        </w:rPr>
        <w:t>QS, UT, JL, BZ</w:t>
      </w:r>
      <w:r w:rsidRPr="00FE2D8E">
        <w:rPr>
          <w:rFonts w:ascii="Times New Roman" w:hAnsi="Times New Roman" w:cs="Times New Roman"/>
        </w:rPr>
        <w:t>: Draft the work.</w:t>
      </w:r>
    </w:p>
    <w:p w14:paraId="1F116F8C" w14:textId="77777777" w:rsidR="00786E87" w:rsidRPr="00FE2D8E" w:rsidRDefault="00786E87" w:rsidP="00786E87">
      <w:pPr>
        <w:spacing w:after="0"/>
        <w:rPr>
          <w:rFonts w:ascii="Times New Roman" w:hAnsi="Times New Roman" w:cs="Times New Roman"/>
        </w:rPr>
      </w:pPr>
      <w:r>
        <w:rPr>
          <w:rFonts w:ascii="Times New Roman" w:hAnsi="Times New Roman" w:cs="Times New Roman"/>
        </w:rPr>
        <w:t>SUA, RAS</w:t>
      </w:r>
      <w:r w:rsidRPr="00FE2D8E">
        <w:rPr>
          <w:rFonts w:ascii="Times New Roman" w:hAnsi="Times New Roman" w:cs="Times New Roman"/>
        </w:rPr>
        <w:t>: Review critically for important intellectual content.</w:t>
      </w:r>
    </w:p>
    <w:p w14:paraId="7AF10E25" w14:textId="77777777" w:rsidR="00786E87" w:rsidRPr="00FE2D8E" w:rsidRDefault="00786E87" w:rsidP="00786E87">
      <w:pPr>
        <w:spacing w:after="0"/>
        <w:rPr>
          <w:rFonts w:ascii="Times New Roman" w:hAnsi="Times New Roman" w:cs="Times New Roman"/>
        </w:rPr>
      </w:pPr>
      <w:r w:rsidRPr="00FE2D8E">
        <w:rPr>
          <w:rFonts w:ascii="Times New Roman" w:hAnsi="Times New Roman" w:cs="Times New Roman"/>
        </w:rPr>
        <w:t>All authors approve the version to be published.</w:t>
      </w:r>
    </w:p>
    <w:p w14:paraId="5F19BD33" w14:textId="0CB89BCE" w:rsidR="00DC70CB" w:rsidRPr="0060618B" w:rsidRDefault="00786E87" w:rsidP="00786E87">
      <w:pPr>
        <w:spacing w:after="0" w:line="276" w:lineRule="auto"/>
        <w:rPr>
          <w:rFonts w:ascii="Times New Roman" w:hAnsi="Times New Roman" w:cs="Times New Roman"/>
        </w:rPr>
      </w:pPr>
      <w:r w:rsidRPr="00FE2D8E">
        <w:rPr>
          <w:rFonts w:ascii="Times New Roman" w:hAnsi="Times New Roman" w:cs="Times New Roman"/>
        </w:rPr>
        <w:t>All authors agree to be accountable for all aspects of the work.</w:t>
      </w:r>
    </w:p>
    <w:p w14:paraId="797C24E4" w14:textId="77777777" w:rsidR="00DC70CB" w:rsidRPr="0060618B" w:rsidRDefault="00DC70CB" w:rsidP="0060618B">
      <w:pPr>
        <w:spacing w:after="0" w:line="276" w:lineRule="auto"/>
        <w:rPr>
          <w:rFonts w:ascii="Times New Roman" w:hAnsi="Times New Roman" w:cs="Times New Roman"/>
        </w:rPr>
      </w:pPr>
    </w:p>
    <w:p w14:paraId="2AA03717" w14:textId="77777777" w:rsidR="00DC70CB" w:rsidRPr="0060618B" w:rsidRDefault="00DC70CB" w:rsidP="0060618B">
      <w:pPr>
        <w:spacing w:after="0" w:line="276" w:lineRule="auto"/>
        <w:rPr>
          <w:rFonts w:ascii="Times New Roman" w:hAnsi="Times New Roman" w:cs="Times New Roman"/>
        </w:rPr>
      </w:pPr>
    </w:p>
    <w:p w14:paraId="5226A9F0" w14:textId="54D1EBBE" w:rsidR="006261BF" w:rsidRPr="00C84209" w:rsidRDefault="00C84209" w:rsidP="0060618B">
      <w:pPr>
        <w:pStyle w:val="Heading3"/>
        <w:spacing w:before="0" w:line="276" w:lineRule="auto"/>
        <w:jc w:val="both"/>
        <w:rPr>
          <w:rFonts w:ascii="Times New Roman" w:hAnsi="Times New Roman" w:cs="Times New Roman"/>
          <w:color w:val="auto"/>
          <w:sz w:val="20"/>
          <w:szCs w:val="20"/>
        </w:rPr>
      </w:pPr>
      <w:r w:rsidRPr="00C84209">
        <w:rPr>
          <w:rStyle w:val="Strong"/>
          <w:rFonts w:ascii="Times New Roman" w:hAnsi="Times New Roman" w:cs="Times New Roman"/>
          <w:bCs w:val="0"/>
          <w:color w:val="auto"/>
          <w:sz w:val="20"/>
          <w:szCs w:val="20"/>
        </w:rPr>
        <w:t xml:space="preserve">References </w:t>
      </w:r>
    </w:p>
    <w:p w14:paraId="59B9A865" w14:textId="2BEF2B8F" w:rsidR="00770523" w:rsidRPr="00C84209" w:rsidRDefault="00770523" w:rsidP="0060618B">
      <w:pPr>
        <w:pStyle w:val="NormalWeb"/>
        <w:numPr>
          <w:ilvl w:val="0"/>
          <w:numId w:val="1"/>
        </w:numPr>
        <w:spacing w:before="0" w:beforeAutospacing="0" w:after="0" w:afterAutospacing="0" w:line="276" w:lineRule="auto"/>
        <w:jc w:val="both"/>
        <w:rPr>
          <w:sz w:val="20"/>
          <w:szCs w:val="20"/>
        </w:rPr>
      </w:pPr>
      <w:r w:rsidRPr="00C84209">
        <w:rPr>
          <w:sz w:val="20"/>
          <w:szCs w:val="20"/>
        </w:rPr>
        <w:t xml:space="preserve">Wang Y, Shao T, Wang J, Huang X, Deng X, Cao Y, et al. An update on potential biomarkers for diagnosing diabetic foot ulcer at early stage. </w:t>
      </w:r>
      <w:r w:rsidRPr="00C84209">
        <w:rPr>
          <w:rStyle w:val="Strong"/>
          <w:b w:val="0"/>
          <w:sz w:val="20"/>
          <w:szCs w:val="20"/>
        </w:rPr>
        <w:t>Biomed Pharmacother.</w:t>
      </w:r>
      <w:r w:rsidRPr="00C84209">
        <w:rPr>
          <w:sz w:val="20"/>
          <w:szCs w:val="20"/>
        </w:rPr>
        <w:t xml:space="preserve"> 2021;133</w:t>
      </w:r>
      <w:r w:rsidR="00C84209" w:rsidRPr="00C84209">
        <w:rPr>
          <w:sz w:val="20"/>
          <w:szCs w:val="20"/>
        </w:rPr>
        <w:t>(1):110991.</w:t>
      </w:r>
    </w:p>
    <w:p w14:paraId="5C00E6F3" w14:textId="16EB1B5A" w:rsidR="006261BF" w:rsidRPr="00C84209" w:rsidRDefault="007849C0" w:rsidP="0060618B">
      <w:pPr>
        <w:pStyle w:val="NormalWeb"/>
        <w:numPr>
          <w:ilvl w:val="0"/>
          <w:numId w:val="1"/>
        </w:numPr>
        <w:spacing w:before="0" w:beforeAutospacing="0" w:after="0" w:afterAutospacing="0" w:line="276" w:lineRule="auto"/>
        <w:jc w:val="both"/>
        <w:rPr>
          <w:sz w:val="20"/>
          <w:szCs w:val="20"/>
        </w:rPr>
      </w:pPr>
      <w:r w:rsidRPr="00C84209">
        <w:rPr>
          <w:sz w:val="20"/>
          <w:szCs w:val="20"/>
        </w:rPr>
        <w:t>Adnan SM, Fatima S, Hasan SM. Factors associated with diabetic foot ulceration among type 2 diabetes mellitus patients at Dow University Hospital, Karachi. Pak Biomed J.</w:t>
      </w:r>
      <w:r w:rsidR="00C84209" w:rsidRPr="00C84209">
        <w:rPr>
          <w:sz w:val="20"/>
          <w:szCs w:val="20"/>
        </w:rPr>
        <w:t xml:space="preserve"> 2024;7(9):1-6.</w:t>
      </w:r>
    </w:p>
    <w:p w14:paraId="29A8CE72" w14:textId="55A524BF" w:rsidR="006261BF" w:rsidRPr="00C84209" w:rsidRDefault="007849C0" w:rsidP="0060618B">
      <w:pPr>
        <w:pStyle w:val="NormalWeb"/>
        <w:numPr>
          <w:ilvl w:val="0"/>
          <w:numId w:val="1"/>
        </w:numPr>
        <w:spacing w:before="0" w:beforeAutospacing="0" w:after="0" w:afterAutospacing="0" w:line="276" w:lineRule="auto"/>
        <w:jc w:val="both"/>
        <w:rPr>
          <w:sz w:val="20"/>
          <w:szCs w:val="20"/>
        </w:rPr>
      </w:pPr>
      <w:r w:rsidRPr="00C84209">
        <w:rPr>
          <w:sz w:val="20"/>
          <w:szCs w:val="20"/>
        </w:rPr>
        <w:t xml:space="preserve">Schaper NC, van Netten JJ, Apelqvist J, Bus SA, Hinchliffe RJ, Lipsky BA, et al. Practical guidelines on the prevention and management of diabetic foot disease (IWGDF 2019 update). </w:t>
      </w:r>
      <w:r w:rsidRPr="00C84209">
        <w:rPr>
          <w:rStyle w:val="Strong"/>
          <w:b w:val="0"/>
          <w:sz w:val="20"/>
          <w:szCs w:val="20"/>
        </w:rPr>
        <w:t>Diabetes Metab Res Rev.</w:t>
      </w:r>
      <w:r w:rsidR="00C84209" w:rsidRPr="00C84209">
        <w:rPr>
          <w:sz w:val="20"/>
          <w:szCs w:val="20"/>
        </w:rPr>
        <w:t xml:space="preserve"> 2020;36(S1):e3266.</w:t>
      </w:r>
    </w:p>
    <w:p w14:paraId="73E5D731" w14:textId="77777777" w:rsidR="0083049F" w:rsidRPr="00C84209" w:rsidRDefault="0083049F" w:rsidP="0060618B">
      <w:pPr>
        <w:pStyle w:val="NormalWeb"/>
        <w:numPr>
          <w:ilvl w:val="0"/>
          <w:numId w:val="1"/>
        </w:numPr>
        <w:spacing w:before="0" w:beforeAutospacing="0" w:after="0" w:afterAutospacing="0" w:line="276" w:lineRule="auto"/>
        <w:rPr>
          <w:sz w:val="20"/>
          <w:szCs w:val="20"/>
        </w:rPr>
      </w:pPr>
      <w:r w:rsidRPr="00C84209">
        <w:rPr>
          <w:sz w:val="20"/>
          <w:szCs w:val="20"/>
        </w:rPr>
        <w:t>Khan A, Junaid N. Prevalence of diabetic foot syndrome amongst population with type 2 diabetes in Pakistan in primary care settings. J Pak Med Assoc. 2017;67(12):1818-24.</w:t>
      </w:r>
    </w:p>
    <w:p w14:paraId="4C04C0E8" w14:textId="0A95B806" w:rsidR="006261BF" w:rsidRPr="00C84209" w:rsidRDefault="007849C0" w:rsidP="0060618B">
      <w:pPr>
        <w:pStyle w:val="NormalWeb"/>
        <w:numPr>
          <w:ilvl w:val="0"/>
          <w:numId w:val="1"/>
        </w:numPr>
        <w:spacing w:before="0" w:beforeAutospacing="0" w:after="0" w:afterAutospacing="0" w:line="276" w:lineRule="auto"/>
        <w:jc w:val="both"/>
        <w:rPr>
          <w:sz w:val="20"/>
          <w:szCs w:val="20"/>
        </w:rPr>
      </w:pPr>
      <w:r w:rsidRPr="00C84209">
        <w:rPr>
          <w:sz w:val="20"/>
          <w:szCs w:val="20"/>
        </w:rPr>
        <w:t xml:space="preserve">Lee SH, Kim SH, Kim KB, Kim HS, Lee YK. Factors influencing wound healing in diabetic foot patients. </w:t>
      </w:r>
      <w:r w:rsidRPr="00C84209">
        <w:rPr>
          <w:rStyle w:val="Strong"/>
          <w:b w:val="0"/>
          <w:sz w:val="20"/>
          <w:szCs w:val="20"/>
        </w:rPr>
        <w:t>Medicina (Kaunas).</w:t>
      </w:r>
      <w:r w:rsidR="00C84209" w:rsidRPr="00C84209">
        <w:rPr>
          <w:sz w:val="20"/>
          <w:szCs w:val="20"/>
        </w:rPr>
        <w:t xml:space="preserve"> 2024;60(5):723.</w:t>
      </w:r>
    </w:p>
    <w:p w14:paraId="6D6967C9" w14:textId="1468A940" w:rsidR="006261BF" w:rsidRPr="00C84209" w:rsidRDefault="007849C0" w:rsidP="0060618B">
      <w:pPr>
        <w:pStyle w:val="NormalWeb"/>
        <w:numPr>
          <w:ilvl w:val="0"/>
          <w:numId w:val="1"/>
        </w:numPr>
        <w:spacing w:before="0" w:beforeAutospacing="0" w:after="0" w:afterAutospacing="0" w:line="276" w:lineRule="auto"/>
        <w:jc w:val="both"/>
        <w:rPr>
          <w:sz w:val="20"/>
          <w:szCs w:val="20"/>
        </w:rPr>
      </w:pPr>
      <w:r w:rsidRPr="00C84209">
        <w:rPr>
          <w:sz w:val="20"/>
          <w:szCs w:val="20"/>
        </w:rPr>
        <w:t xml:space="preserve">Huma K, Mehboob K, Rashid A, Majeed A. Comparative analysis of superoxide dismutase-1 levels in diabetics with and without neuropathy. </w:t>
      </w:r>
      <w:r w:rsidRPr="00C84209">
        <w:rPr>
          <w:rStyle w:val="Strong"/>
          <w:b w:val="0"/>
          <w:sz w:val="20"/>
          <w:szCs w:val="20"/>
        </w:rPr>
        <w:t>J Coll Physicians Surg Pak.</w:t>
      </w:r>
      <w:r w:rsidR="00C84209" w:rsidRPr="00C84209">
        <w:rPr>
          <w:sz w:val="20"/>
          <w:szCs w:val="20"/>
        </w:rPr>
        <w:t xml:space="preserve"> 2021;31(7):765-</w:t>
      </w:r>
      <w:r w:rsidRPr="00C84209">
        <w:rPr>
          <w:sz w:val="20"/>
          <w:szCs w:val="20"/>
        </w:rPr>
        <w:t>9.</w:t>
      </w:r>
    </w:p>
    <w:p w14:paraId="6DA8B22F" w14:textId="45ECACDD" w:rsidR="006261BF" w:rsidRPr="00C84209" w:rsidRDefault="00E60309" w:rsidP="0060618B">
      <w:pPr>
        <w:pStyle w:val="NormalWeb"/>
        <w:numPr>
          <w:ilvl w:val="0"/>
          <w:numId w:val="1"/>
        </w:numPr>
        <w:spacing w:before="0" w:beforeAutospacing="0" w:after="0" w:afterAutospacing="0" w:line="276" w:lineRule="auto"/>
        <w:jc w:val="both"/>
        <w:rPr>
          <w:sz w:val="20"/>
          <w:szCs w:val="20"/>
        </w:rPr>
      </w:pPr>
      <w:r w:rsidRPr="00C84209">
        <w:rPr>
          <w:sz w:val="20"/>
          <w:szCs w:val="20"/>
        </w:rPr>
        <w:t xml:space="preserve">Iacobini C, Vitale M, Pesce C, Pugliese G, Menini S. Diabetic complications and oxidative stress: A 20-year voyage back in time and back to the future. </w:t>
      </w:r>
      <w:r w:rsidRPr="00C84209">
        <w:rPr>
          <w:rStyle w:val="Strong"/>
          <w:b w:val="0"/>
          <w:sz w:val="20"/>
          <w:szCs w:val="20"/>
        </w:rPr>
        <w:t>Antioxidants (Basel).</w:t>
      </w:r>
      <w:r w:rsidR="00C84209" w:rsidRPr="00C84209">
        <w:rPr>
          <w:sz w:val="20"/>
          <w:szCs w:val="20"/>
        </w:rPr>
        <w:t xml:space="preserve"> 2021;10(5):727.</w:t>
      </w:r>
    </w:p>
    <w:p w14:paraId="7BC8944E" w14:textId="4336AA0C" w:rsidR="006261BF" w:rsidRPr="00C84209" w:rsidRDefault="00E60309" w:rsidP="0060618B">
      <w:pPr>
        <w:pStyle w:val="NormalWeb"/>
        <w:numPr>
          <w:ilvl w:val="0"/>
          <w:numId w:val="1"/>
        </w:numPr>
        <w:spacing w:before="0" w:beforeAutospacing="0" w:after="0" w:afterAutospacing="0" w:line="276" w:lineRule="auto"/>
        <w:jc w:val="both"/>
        <w:rPr>
          <w:sz w:val="20"/>
          <w:szCs w:val="20"/>
        </w:rPr>
      </w:pPr>
      <w:r w:rsidRPr="00C84209">
        <w:rPr>
          <w:sz w:val="20"/>
          <w:szCs w:val="20"/>
        </w:rPr>
        <w:t xml:space="preserve">Mohamed AA, Elmotaleb Hussein MA, Hanna IN, Nashwan AJJ, Saleh M, Abdel Wahed WY, et al. The potential impact and diagnostic value of inflammatory markers on diabetic foot progression in type II diabetes mellitus: A case-control study. </w:t>
      </w:r>
      <w:r w:rsidRPr="00C84209">
        <w:rPr>
          <w:rStyle w:val="Strong"/>
          <w:b w:val="0"/>
          <w:sz w:val="20"/>
          <w:szCs w:val="20"/>
        </w:rPr>
        <w:t>Med Clin (Barc).</w:t>
      </w:r>
      <w:r w:rsidRPr="00C84209">
        <w:rPr>
          <w:sz w:val="20"/>
          <w:szCs w:val="20"/>
        </w:rPr>
        <w:t xml:space="preserve"> 2024;162(9):e33-e39.</w:t>
      </w:r>
    </w:p>
    <w:p w14:paraId="58EE6F71" w14:textId="45E1E496" w:rsidR="006261BF" w:rsidRPr="00C84209" w:rsidRDefault="00E60309" w:rsidP="0060618B">
      <w:pPr>
        <w:pStyle w:val="NormalWeb"/>
        <w:numPr>
          <w:ilvl w:val="0"/>
          <w:numId w:val="1"/>
        </w:numPr>
        <w:spacing w:before="0" w:beforeAutospacing="0" w:after="0" w:afterAutospacing="0" w:line="276" w:lineRule="auto"/>
        <w:jc w:val="both"/>
        <w:rPr>
          <w:sz w:val="20"/>
          <w:szCs w:val="20"/>
        </w:rPr>
      </w:pPr>
      <w:r w:rsidRPr="00C84209">
        <w:rPr>
          <w:sz w:val="20"/>
          <w:szCs w:val="20"/>
        </w:rPr>
        <w:t xml:space="preserve">Ulandari R, Kurniawan LB, Nurahmi N, Muhadi D. Analysis of neutrophil-to-lymphocyte ratio in type 2 diabetes mellitus patients with and without diabetic foot ulcers. </w:t>
      </w:r>
      <w:r w:rsidRPr="00C84209">
        <w:rPr>
          <w:rStyle w:val="Strong"/>
          <w:b w:val="0"/>
          <w:sz w:val="20"/>
          <w:szCs w:val="20"/>
        </w:rPr>
        <w:t>Indones J Clin Pathol Med Lab.</w:t>
      </w:r>
      <w:r w:rsidR="00C84209" w:rsidRPr="00C84209">
        <w:rPr>
          <w:sz w:val="20"/>
          <w:szCs w:val="20"/>
        </w:rPr>
        <w:t xml:space="preserve"> 2023;29(2):185-</w:t>
      </w:r>
      <w:r w:rsidRPr="00C84209">
        <w:rPr>
          <w:sz w:val="20"/>
          <w:szCs w:val="20"/>
        </w:rPr>
        <w:t>8.</w:t>
      </w:r>
    </w:p>
    <w:p w14:paraId="4E362CAC" w14:textId="7A560696" w:rsidR="006261BF" w:rsidRPr="00C84209" w:rsidRDefault="00E60309" w:rsidP="0060618B">
      <w:pPr>
        <w:pStyle w:val="NormalWeb"/>
        <w:numPr>
          <w:ilvl w:val="0"/>
          <w:numId w:val="1"/>
        </w:numPr>
        <w:spacing w:before="0" w:beforeAutospacing="0" w:after="0" w:afterAutospacing="0" w:line="276" w:lineRule="auto"/>
        <w:jc w:val="both"/>
        <w:rPr>
          <w:sz w:val="20"/>
          <w:szCs w:val="20"/>
        </w:rPr>
      </w:pPr>
      <w:r w:rsidRPr="00C84209">
        <w:rPr>
          <w:sz w:val="20"/>
          <w:szCs w:val="20"/>
        </w:rPr>
        <w:t xml:space="preserve">Wang X, Fu J, Li Q, Zeng D. Geographical and ethnic distributions of the MTHFR C677T, A1298C and MTRR A66G gene polymorphisms in Chinese populations: A meta-analysis. </w:t>
      </w:r>
      <w:r w:rsidRPr="00C84209">
        <w:rPr>
          <w:rStyle w:val="Strong"/>
          <w:b w:val="0"/>
          <w:sz w:val="20"/>
          <w:szCs w:val="20"/>
        </w:rPr>
        <w:t>PLoS One.</w:t>
      </w:r>
      <w:r w:rsidRPr="00C84209">
        <w:rPr>
          <w:sz w:val="20"/>
          <w:szCs w:val="20"/>
        </w:rPr>
        <w:t xml:space="preserve"> 2016;11(4):e0152414.</w:t>
      </w:r>
    </w:p>
    <w:p w14:paraId="0F5CAE89" w14:textId="75E60D3C" w:rsidR="006261BF" w:rsidRPr="00C84209" w:rsidRDefault="006261BF" w:rsidP="0060618B">
      <w:pPr>
        <w:pStyle w:val="NormalWeb"/>
        <w:numPr>
          <w:ilvl w:val="0"/>
          <w:numId w:val="1"/>
        </w:numPr>
        <w:spacing w:before="0" w:beforeAutospacing="0" w:after="0" w:afterAutospacing="0" w:line="276" w:lineRule="auto"/>
        <w:jc w:val="both"/>
        <w:rPr>
          <w:sz w:val="20"/>
          <w:szCs w:val="20"/>
        </w:rPr>
      </w:pPr>
      <w:r w:rsidRPr="00C84209">
        <w:rPr>
          <w:sz w:val="20"/>
          <w:szCs w:val="20"/>
        </w:rPr>
        <w:t xml:space="preserve">Dean AG, Sullivan KM, Soe MM. OpenEpi: open source epidemiologic statistics for public health, version 2.3.1 [Internet]. Atlanta (GA): OpenEpi; 2010 [cited 2026 Jan 28]. Available from: </w:t>
      </w:r>
      <w:r w:rsidR="00C84209" w:rsidRPr="00C84209">
        <w:rPr>
          <w:sz w:val="20"/>
          <w:szCs w:val="20"/>
        </w:rPr>
        <w:t>[</w:t>
      </w:r>
      <w:hyperlink r:id="rId9" w:tgtFrame="_new" w:history="1">
        <w:r w:rsidRPr="00C84209">
          <w:rPr>
            <w:rStyle w:val="Hyperlink"/>
            <w:bCs/>
            <w:color w:val="auto"/>
            <w:sz w:val="20"/>
            <w:szCs w:val="20"/>
          </w:rPr>
          <w:t>https://www.openepi.com</w:t>
        </w:r>
      </w:hyperlink>
      <w:r w:rsidR="00C84209" w:rsidRPr="00C84209">
        <w:rPr>
          <w:rStyle w:val="Hyperlink"/>
          <w:bCs/>
          <w:color w:val="auto"/>
          <w:sz w:val="20"/>
          <w:szCs w:val="20"/>
        </w:rPr>
        <w:t>]</w:t>
      </w:r>
    </w:p>
    <w:p w14:paraId="71A06E65" w14:textId="536CFBEF" w:rsidR="006261BF" w:rsidRPr="00C84209" w:rsidRDefault="000A6D05" w:rsidP="0060618B">
      <w:pPr>
        <w:pStyle w:val="ListParagraph"/>
        <w:numPr>
          <w:ilvl w:val="0"/>
          <w:numId w:val="1"/>
        </w:numPr>
        <w:spacing w:after="0"/>
        <w:jc w:val="both"/>
        <w:rPr>
          <w:rFonts w:ascii="Times New Roman" w:eastAsia="Times New Roman" w:hAnsi="Times New Roman" w:cs="Times New Roman"/>
          <w:sz w:val="20"/>
          <w:szCs w:val="20"/>
        </w:rPr>
      </w:pPr>
      <w:r w:rsidRPr="00C84209">
        <w:rPr>
          <w:rFonts w:ascii="Times New Roman" w:hAnsi="Times New Roman" w:cs="Times New Roman"/>
          <w:sz w:val="20"/>
          <w:szCs w:val="20"/>
        </w:rPr>
        <w:t xml:space="preserve">Vujčić S, et al. Oxidative stress and inflammatory biomarkers in patients with diabetic foot. </w:t>
      </w:r>
      <w:r w:rsidRPr="00C84209">
        <w:rPr>
          <w:rStyle w:val="Emphasis"/>
          <w:rFonts w:ascii="Times New Roman" w:hAnsi="Times New Roman" w:cs="Times New Roman"/>
          <w:i w:val="0"/>
          <w:sz w:val="20"/>
          <w:szCs w:val="20"/>
        </w:rPr>
        <w:t>Medicina (Kaunas)</w:t>
      </w:r>
      <w:r w:rsidRPr="00C84209">
        <w:rPr>
          <w:rStyle w:val="Emphasis"/>
          <w:rFonts w:ascii="Times New Roman" w:hAnsi="Times New Roman" w:cs="Times New Roman"/>
          <w:sz w:val="20"/>
          <w:szCs w:val="20"/>
        </w:rPr>
        <w:t>.</w:t>
      </w:r>
      <w:r w:rsidRPr="00C84209">
        <w:rPr>
          <w:rFonts w:ascii="Times New Roman" w:hAnsi="Times New Roman" w:cs="Times New Roman"/>
          <w:sz w:val="20"/>
          <w:szCs w:val="20"/>
        </w:rPr>
        <w:t xml:space="preserve"> 2022;58(12):1866.</w:t>
      </w:r>
    </w:p>
    <w:p w14:paraId="32B81479" w14:textId="16858BBA" w:rsidR="006261BF" w:rsidRPr="00C84209" w:rsidRDefault="00C84209" w:rsidP="0060618B">
      <w:pPr>
        <w:pStyle w:val="ListParagraph"/>
        <w:numPr>
          <w:ilvl w:val="0"/>
          <w:numId w:val="1"/>
        </w:numPr>
        <w:spacing w:after="0"/>
        <w:jc w:val="both"/>
        <w:rPr>
          <w:rFonts w:ascii="Times New Roman" w:hAnsi="Times New Roman" w:cs="Times New Roman"/>
          <w:sz w:val="20"/>
          <w:szCs w:val="20"/>
          <w:shd w:val="clear" w:color="auto" w:fill="D3E3FD"/>
        </w:rPr>
      </w:pPr>
      <w:r w:rsidRPr="00C84209">
        <w:rPr>
          <w:rFonts w:ascii="Times New Roman" w:hAnsi="Times New Roman" w:cs="Times New Roman"/>
          <w:color w:val="222222"/>
          <w:sz w:val="20"/>
          <w:szCs w:val="20"/>
          <w:shd w:val="clear" w:color="auto" w:fill="FFFFFF"/>
        </w:rPr>
        <w:t>Din N, Khan M, Khan BD, Ghaffar T, Ikram MT, Salman MA, Hadi NK, Khan S. Association of severity of diabetic foot ulcer with glycated hemoglobin A1C levels: Diabetic foot ulcer with glycated HBA1C levels. Pak J Health Sci. 2023;4(1):161-5.</w:t>
      </w:r>
      <w:r w:rsidRPr="00C84209">
        <w:rPr>
          <w:rFonts w:ascii="Times New Roman" w:hAnsi="Times New Roman" w:cs="Times New Roman"/>
          <w:sz w:val="20"/>
          <w:szCs w:val="20"/>
          <w:shd w:val="clear" w:color="auto" w:fill="FFFFFF"/>
        </w:rPr>
        <w:t xml:space="preserve"> </w:t>
      </w:r>
    </w:p>
    <w:p w14:paraId="5AF6427E" w14:textId="1BDFA928" w:rsidR="006261BF" w:rsidRPr="00C84209" w:rsidRDefault="00E60309" w:rsidP="0060618B">
      <w:pPr>
        <w:pStyle w:val="ListParagraph"/>
        <w:numPr>
          <w:ilvl w:val="0"/>
          <w:numId w:val="1"/>
        </w:numPr>
        <w:spacing w:after="0"/>
        <w:jc w:val="both"/>
        <w:rPr>
          <w:rStyle w:val="HTMLCite"/>
          <w:rFonts w:ascii="Times New Roman" w:eastAsia="Times New Roman" w:hAnsi="Times New Roman" w:cs="Times New Roman"/>
          <w:i w:val="0"/>
          <w:iCs w:val="0"/>
          <w:sz w:val="20"/>
          <w:szCs w:val="20"/>
        </w:rPr>
      </w:pPr>
      <w:r w:rsidRPr="00C84209">
        <w:rPr>
          <w:rFonts w:ascii="Times New Roman" w:hAnsi="Times New Roman" w:cs="Times New Roman"/>
          <w:sz w:val="20"/>
          <w:szCs w:val="20"/>
        </w:rPr>
        <w:t xml:space="preserve">Wang J, Xue T, Li H, Guo S. Nomogram prediction for the risk of diabetic foot in patients with type 2 diabetes mellitus. </w:t>
      </w:r>
      <w:r w:rsidRPr="00C84209">
        <w:rPr>
          <w:rStyle w:val="Strong"/>
          <w:rFonts w:ascii="Times New Roman" w:hAnsi="Times New Roman" w:cs="Times New Roman"/>
          <w:b w:val="0"/>
          <w:sz w:val="20"/>
          <w:szCs w:val="20"/>
        </w:rPr>
        <w:t>Front Endocrinol (Lausanne).</w:t>
      </w:r>
      <w:r w:rsidRPr="00C84209">
        <w:rPr>
          <w:rFonts w:ascii="Times New Roman" w:hAnsi="Times New Roman" w:cs="Times New Roman"/>
          <w:sz w:val="20"/>
          <w:szCs w:val="20"/>
        </w:rPr>
        <w:t xml:space="preserve"> 2022;13</w:t>
      </w:r>
      <w:r w:rsidR="00C84209" w:rsidRPr="00C84209">
        <w:rPr>
          <w:rFonts w:ascii="Times New Roman" w:hAnsi="Times New Roman" w:cs="Times New Roman"/>
          <w:sz w:val="20"/>
          <w:szCs w:val="20"/>
        </w:rPr>
        <w:t>(1)</w:t>
      </w:r>
      <w:r w:rsidRPr="00C84209">
        <w:rPr>
          <w:rFonts w:ascii="Times New Roman" w:hAnsi="Times New Roman" w:cs="Times New Roman"/>
          <w:sz w:val="20"/>
          <w:szCs w:val="20"/>
        </w:rPr>
        <w:t>:890057.</w:t>
      </w:r>
    </w:p>
    <w:p w14:paraId="3461C220" w14:textId="645374A9" w:rsidR="006261BF" w:rsidRPr="00C84209" w:rsidRDefault="000A6D05" w:rsidP="0060618B">
      <w:pPr>
        <w:pStyle w:val="ListParagraph"/>
        <w:numPr>
          <w:ilvl w:val="0"/>
          <w:numId w:val="1"/>
        </w:numPr>
        <w:spacing w:after="0"/>
        <w:jc w:val="both"/>
        <w:rPr>
          <w:rFonts w:ascii="Times New Roman" w:eastAsia="Times New Roman" w:hAnsi="Times New Roman" w:cs="Times New Roman"/>
          <w:sz w:val="20"/>
          <w:szCs w:val="20"/>
        </w:rPr>
      </w:pPr>
      <w:r w:rsidRPr="00C84209">
        <w:rPr>
          <w:rFonts w:ascii="Times New Roman" w:hAnsi="Times New Roman" w:cs="Times New Roman"/>
          <w:sz w:val="20"/>
          <w:szCs w:val="20"/>
        </w:rPr>
        <w:t xml:space="preserve">Tang WH, Zhao YN, Cheng ZX, Xu JX, Zhang Y, Liu XM. Risk factors for diabetic foot ulcers: a systematic review and meta-analysis. </w:t>
      </w:r>
      <w:r w:rsidRPr="00C84209">
        <w:rPr>
          <w:rStyle w:val="Emphasis"/>
          <w:rFonts w:ascii="Times New Roman" w:hAnsi="Times New Roman" w:cs="Times New Roman"/>
          <w:i w:val="0"/>
          <w:sz w:val="20"/>
          <w:szCs w:val="20"/>
        </w:rPr>
        <w:t>Vascular</w:t>
      </w:r>
      <w:r w:rsidRPr="00C84209">
        <w:rPr>
          <w:rFonts w:ascii="Times New Roman" w:hAnsi="Times New Roman" w:cs="Times New Roman"/>
          <w:i/>
          <w:sz w:val="20"/>
          <w:szCs w:val="20"/>
        </w:rPr>
        <w:t>.</w:t>
      </w:r>
      <w:r w:rsidR="00C84209" w:rsidRPr="00C84209">
        <w:rPr>
          <w:rFonts w:ascii="Times New Roman" w:hAnsi="Times New Roman" w:cs="Times New Roman"/>
          <w:sz w:val="20"/>
          <w:szCs w:val="20"/>
        </w:rPr>
        <w:t xml:space="preserve"> 2023;31(6):1095-</w:t>
      </w:r>
      <w:r w:rsidRPr="00C84209">
        <w:rPr>
          <w:rFonts w:ascii="Times New Roman" w:hAnsi="Times New Roman" w:cs="Times New Roman"/>
          <w:sz w:val="20"/>
          <w:szCs w:val="20"/>
        </w:rPr>
        <w:t xml:space="preserve">105. </w:t>
      </w:r>
    </w:p>
    <w:p w14:paraId="2561241D" w14:textId="7ADB2A95" w:rsidR="006261BF" w:rsidRPr="00C84209" w:rsidRDefault="00E60309" w:rsidP="0060618B">
      <w:pPr>
        <w:pStyle w:val="ListParagraph"/>
        <w:numPr>
          <w:ilvl w:val="0"/>
          <w:numId w:val="1"/>
        </w:numPr>
        <w:spacing w:after="0"/>
        <w:jc w:val="both"/>
        <w:rPr>
          <w:rFonts w:ascii="Times New Roman" w:eastAsia="Times New Roman" w:hAnsi="Times New Roman" w:cs="Times New Roman"/>
          <w:sz w:val="20"/>
          <w:szCs w:val="20"/>
        </w:rPr>
      </w:pPr>
      <w:r w:rsidRPr="00C84209">
        <w:rPr>
          <w:rFonts w:ascii="Times New Roman" w:hAnsi="Times New Roman" w:cs="Times New Roman"/>
          <w:sz w:val="20"/>
          <w:szCs w:val="20"/>
        </w:rPr>
        <w:t xml:space="preserve">Katya WE, Salman AN, Mohammed AG. Assessment of biochemical markers in diabetic foot ulcer patients at Thi-Qar province. </w:t>
      </w:r>
      <w:r w:rsidRPr="00C84209">
        <w:rPr>
          <w:rStyle w:val="Strong"/>
          <w:rFonts w:ascii="Times New Roman" w:hAnsi="Times New Roman" w:cs="Times New Roman"/>
          <w:b w:val="0"/>
          <w:sz w:val="20"/>
          <w:szCs w:val="20"/>
        </w:rPr>
        <w:t>Int J Health Sci (Qassim).</w:t>
      </w:r>
      <w:r w:rsidR="00C84209" w:rsidRPr="00C84209">
        <w:rPr>
          <w:rFonts w:ascii="Times New Roman" w:hAnsi="Times New Roman" w:cs="Times New Roman"/>
          <w:sz w:val="20"/>
          <w:szCs w:val="20"/>
        </w:rPr>
        <w:t xml:space="preserve"> 2022;6(S7):3614-20</w:t>
      </w:r>
      <w:r w:rsidRPr="00C84209">
        <w:rPr>
          <w:rFonts w:ascii="Times New Roman" w:hAnsi="Times New Roman" w:cs="Times New Roman"/>
          <w:sz w:val="20"/>
          <w:szCs w:val="20"/>
        </w:rPr>
        <w:t>.</w:t>
      </w:r>
    </w:p>
    <w:p w14:paraId="1AB321E3" w14:textId="46F93384" w:rsidR="006261BF" w:rsidRPr="00C84209" w:rsidRDefault="00E60309" w:rsidP="0060618B">
      <w:pPr>
        <w:pStyle w:val="ListParagraph"/>
        <w:numPr>
          <w:ilvl w:val="0"/>
          <w:numId w:val="1"/>
        </w:numPr>
        <w:spacing w:after="0"/>
        <w:jc w:val="both"/>
        <w:rPr>
          <w:rFonts w:ascii="Times New Roman" w:eastAsia="Times New Roman" w:hAnsi="Times New Roman" w:cs="Times New Roman"/>
          <w:sz w:val="20"/>
          <w:szCs w:val="20"/>
        </w:rPr>
      </w:pPr>
      <w:r w:rsidRPr="00C84209">
        <w:rPr>
          <w:rFonts w:ascii="Times New Roman" w:hAnsi="Times New Roman" w:cs="Times New Roman"/>
          <w:sz w:val="20"/>
          <w:szCs w:val="20"/>
        </w:rPr>
        <w:t xml:space="preserve">Mossanda KS, Bolajoko EB, Moropane M, Adeniyi F, Akinosun O, Fasanmade A. Antioxidant and oxidative stress status in type 2 diabetes and diabetic foot ulcer. </w:t>
      </w:r>
      <w:r w:rsidRPr="00C84209">
        <w:rPr>
          <w:rStyle w:val="Strong"/>
          <w:rFonts w:ascii="Times New Roman" w:hAnsi="Times New Roman" w:cs="Times New Roman"/>
          <w:b w:val="0"/>
          <w:sz w:val="20"/>
          <w:szCs w:val="20"/>
        </w:rPr>
        <w:t>J Endocrinol Metab Diabetes S Afr.</w:t>
      </w:r>
      <w:r w:rsidR="00C84209" w:rsidRPr="00C84209">
        <w:rPr>
          <w:rFonts w:ascii="Times New Roman" w:hAnsi="Times New Roman" w:cs="Times New Roman"/>
          <w:sz w:val="20"/>
          <w:szCs w:val="20"/>
        </w:rPr>
        <w:t xml:space="preserve"> 2008;13(2):58-63</w:t>
      </w:r>
      <w:r w:rsidRPr="00C84209">
        <w:rPr>
          <w:rFonts w:ascii="Times New Roman" w:hAnsi="Times New Roman" w:cs="Times New Roman"/>
          <w:sz w:val="20"/>
          <w:szCs w:val="20"/>
        </w:rPr>
        <w:t>.</w:t>
      </w:r>
    </w:p>
    <w:p w14:paraId="6527C187" w14:textId="7157BA9A" w:rsidR="006261BF" w:rsidRPr="00C84209" w:rsidRDefault="00C84209" w:rsidP="0060618B">
      <w:pPr>
        <w:pStyle w:val="ListParagraph"/>
        <w:numPr>
          <w:ilvl w:val="0"/>
          <w:numId w:val="1"/>
        </w:numPr>
        <w:spacing w:after="0"/>
        <w:jc w:val="both"/>
        <w:rPr>
          <w:rFonts w:ascii="Times New Roman" w:eastAsia="Times New Roman" w:hAnsi="Times New Roman" w:cs="Times New Roman"/>
          <w:sz w:val="20"/>
          <w:szCs w:val="20"/>
        </w:rPr>
      </w:pPr>
      <w:r w:rsidRPr="00C84209">
        <w:rPr>
          <w:rFonts w:ascii="Times New Roman" w:hAnsi="Times New Roman" w:cs="Times New Roman"/>
          <w:sz w:val="20"/>
          <w:szCs w:val="20"/>
        </w:rPr>
        <w:t>Vairamon SJ, John S, Kundu S</w:t>
      </w:r>
      <w:r w:rsidR="00E60309" w:rsidRPr="00C84209">
        <w:rPr>
          <w:rFonts w:ascii="Times New Roman" w:hAnsi="Times New Roman" w:cs="Times New Roman"/>
          <w:sz w:val="20"/>
          <w:szCs w:val="20"/>
        </w:rPr>
        <w:t xml:space="preserve">. Oxidative stress markers regulating the healing of foot ulcers in patients with type 2 diabetes. </w:t>
      </w:r>
      <w:r w:rsidR="00E60309" w:rsidRPr="00C84209">
        <w:rPr>
          <w:rStyle w:val="Strong"/>
          <w:rFonts w:ascii="Times New Roman" w:hAnsi="Times New Roman" w:cs="Times New Roman"/>
          <w:b w:val="0"/>
          <w:sz w:val="20"/>
          <w:szCs w:val="20"/>
        </w:rPr>
        <w:t>Wounds.</w:t>
      </w:r>
      <w:r w:rsidRPr="00C84209">
        <w:rPr>
          <w:rFonts w:ascii="Times New Roman" w:hAnsi="Times New Roman" w:cs="Times New Roman"/>
          <w:sz w:val="20"/>
          <w:szCs w:val="20"/>
        </w:rPr>
        <w:t xml:space="preserve"> 2009;21(10):273-</w:t>
      </w:r>
      <w:r w:rsidR="00E60309" w:rsidRPr="00C84209">
        <w:rPr>
          <w:rFonts w:ascii="Times New Roman" w:hAnsi="Times New Roman" w:cs="Times New Roman"/>
          <w:sz w:val="20"/>
          <w:szCs w:val="20"/>
        </w:rPr>
        <w:t>9.</w:t>
      </w:r>
    </w:p>
    <w:p w14:paraId="41383D7F" w14:textId="075E24E7" w:rsidR="006261BF" w:rsidRPr="00C84209" w:rsidRDefault="00E60309" w:rsidP="0060618B">
      <w:pPr>
        <w:pStyle w:val="ListParagraph"/>
        <w:numPr>
          <w:ilvl w:val="0"/>
          <w:numId w:val="1"/>
        </w:numPr>
        <w:spacing w:after="0"/>
        <w:jc w:val="both"/>
        <w:rPr>
          <w:rFonts w:ascii="Times New Roman" w:eastAsia="Times New Roman" w:hAnsi="Times New Roman" w:cs="Times New Roman"/>
          <w:sz w:val="20"/>
          <w:szCs w:val="20"/>
        </w:rPr>
      </w:pPr>
      <w:r w:rsidRPr="00C84209">
        <w:rPr>
          <w:rFonts w:ascii="Times New Roman" w:hAnsi="Times New Roman" w:cs="Times New Roman"/>
          <w:sz w:val="20"/>
          <w:szCs w:val="20"/>
        </w:rPr>
        <w:t xml:space="preserve">Bolajoko EB, Akinosun OM, Anetor JI, Mossanda KS. Relationship between selected micronutrient deficiencies and oxidative stress biomarkers in diabetes mellitus patients with foot ulcers in Ibadan, Nigeria. </w:t>
      </w:r>
      <w:r w:rsidRPr="00C84209">
        <w:rPr>
          <w:rStyle w:val="Strong"/>
          <w:rFonts w:ascii="Times New Roman" w:hAnsi="Times New Roman" w:cs="Times New Roman"/>
          <w:b w:val="0"/>
          <w:sz w:val="20"/>
          <w:szCs w:val="20"/>
        </w:rPr>
        <w:t>Turk J Med Sci.</w:t>
      </w:r>
      <w:r w:rsidR="00C84209" w:rsidRPr="00C84209">
        <w:rPr>
          <w:rFonts w:ascii="Times New Roman" w:hAnsi="Times New Roman" w:cs="Times New Roman"/>
          <w:sz w:val="20"/>
          <w:szCs w:val="20"/>
        </w:rPr>
        <w:t xml:space="preserve"> 2017;47(4):479-</w:t>
      </w:r>
      <w:r w:rsidRPr="00C84209">
        <w:rPr>
          <w:rFonts w:ascii="Times New Roman" w:hAnsi="Times New Roman" w:cs="Times New Roman"/>
          <w:sz w:val="20"/>
          <w:szCs w:val="20"/>
        </w:rPr>
        <w:t xml:space="preserve">86. </w:t>
      </w:r>
    </w:p>
    <w:p w14:paraId="259C08BB" w14:textId="48F4F2FA" w:rsidR="006261BF" w:rsidRPr="00C84209" w:rsidRDefault="00E60309" w:rsidP="0060618B">
      <w:pPr>
        <w:pStyle w:val="ListParagraph"/>
        <w:numPr>
          <w:ilvl w:val="0"/>
          <w:numId w:val="1"/>
        </w:numPr>
        <w:spacing w:after="0"/>
        <w:jc w:val="both"/>
        <w:rPr>
          <w:rFonts w:ascii="Times New Roman" w:eastAsia="Times New Roman" w:hAnsi="Times New Roman" w:cs="Times New Roman"/>
          <w:sz w:val="20"/>
          <w:szCs w:val="20"/>
        </w:rPr>
      </w:pPr>
      <w:r w:rsidRPr="00C84209">
        <w:rPr>
          <w:rFonts w:ascii="Times New Roman" w:hAnsi="Times New Roman" w:cs="Times New Roman"/>
          <w:sz w:val="20"/>
          <w:szCs w:val="20"/>
        </w:rPr>
        <w:lastRenderedPageBreak/>
        <w:t xml:space="preserve">Lin CC, Hsu LA, Chen CC, Yeh JI, Sun JH, Lin CH, et al. C-reactive protein as an outcome predictor for percutaneous transluminal angioplasty in diabetic patients with peripheral arterial disease and infected foot ulcers. </w:t>
      </w:r>
      <w:r w:rsidRPr="00C84209">
        <w:rPr>
          <w:rStyle w:val="Strong"/>
          <w:rFonts w:ascii="Times New Roman" w:hAnsi="Times New Roman" w:cs="Times New Roman"/>
          <w:b w:val="0"/>
          <w:sz w:val="20"/>
          <w:szCs w:val="20"/>
        </w:rPr>
        <w:t>Diabetes Res Clin Pract.</w:t>
      </w:r>
      <w:r w:rsidRPr="00C84209">
        <w:rPr>
          <w:rFonts w:ascii="Times New Roman" w:hAnsi="Times New Roman" w:cs="Times New Roman"/>
          <w:sz w:val="20"/>
          <w:szCs w:val="20"/>
        </w:rPr>
        <w:t xml:space="preserve"> 2010;90(2)</w:t>
      </w:r>
      <w:r w:rsidR="00C84209" w:rsidRPr="00C84209">
        <w:rPr>
          <w:rFonts w:ascii="Times New Roman" w:hAnsi="Times New Roman" w:cs="Times New Roman"/>
          <w:sz w:val="20"/>
          <w:szCs w:val="20"/>
        </w:rPr>
        <w:t>:167-72.</w:t>
      </w:r>
    </w:p>
    <w:p w14:paraId="3F8A17D6" w14:textId="6B976D76" w:rsidR="00E60309" w:rsidRPr="00C84209" w:rsidRDefault="00E60309" w:rsidP="0060618B">
      <w:pPr>
        <w:pStyle w:val="NormalWeb"/>
        <w:numPr>
          <w:ilvl w:val="0"/>
          <w:numId w:val="1"/>
        </w:numPr>
        <w:spacing w:before="0" w:beforeAutospacing="0" w:after="0" w:afterAutospacing="0" w:line="276" w:lineRule="auto"/>
        <w:rPr>
          <w:sz w:val="20"/>
          <w:szCs w:val="20"/>
        </w:rPr>
      </w:pPr>
      <w:r w:rsidRPr="00C84209">
        <w:rPr>
          <w:sz w:val="20"/>
          <w:szCs w:val="20"/>
        </w:rPr>
        <w:t xml:space="preserve">Stanimirovic J, Radovanovic J, Banjac K, Obradovic M, Essack M, Zafirovic S, et al. Role of C-reactive protein in diabetic inflammation. </w:t>
      </w:r>
      <w:r w:rsidRPr="00C84209">
        <w:rPr>
          <w:rStyle w:val="Strong"/>
          <w:b w:val="0"/>
          <w:sz w:val="20"/>
          <w:szCs w:val="20"/>
        </w:rPr>
        <w:t>Mediators Inflamm.</w:t>
      </w:r>
      <w:r w:rsidRPr="00C84209">
        <w:rPr>
          <w:sz w:val="20"/>
          <w:szCs w:val="20"/>
        </w:rPr>
        <w:t xml:space="preserve"> 2022;doi:10.1155/2022/3706508.</w:t>
      </w:r>
    </w:p>
    <w:p w14:paraId="37B95472" w14:textId="26006E9C" w:rsidR="0044660E" w:rsidRPr="00C84209" w:rsidRDefault="000A6D05" w:rsidP="0060618B">
      <w:pPr>
        <w:pStyle w:val="NormalWeb"/>
        <w:numPr>
          <w:ilvl w:val="0"/>
          <w:numId w:val="1"/>
        </w:numPr>
        <w:spacing w:before="0" w:beforeAutospacing="0" w:after="0" w:afterAutospacing="0" w:line="276" w:lineRule="auto"/>
        <w:jc w:val="both"/>
        <w:rPr>
          <w:sz w:val="20"/>
          <w:szCs w:val="20"/>
        </w:rPr>
      </w:pPr>
      <w:r w:rsidRPr="00C84209">
        <w:rPr>
          <w:sz w:val="20"/>
          <w:szCs w:val="20"/>
        </w:rPr>
        <w:t>Asher F, D</w:t>
      </w:r>
      <w:r w:rsidR="00C84209" w:rsidRPr="00C84209">
        <w:rPr>
          <w:sz w:val="20"/>
          <w:szCs w:val="20"/>
        </w:rPr>
        <w:t>araie M, Mohammadi F</w:t>
      </w:r>
      <w:r w:rsidRPr="00C84209">
        <w:rPr>
          <w:sz w:val="20"/>
          <w:szCs w:val="20"/>
        </w:rPr>
        <w:t xml:space="preserve">. Neutrophil-to-lymphocyte ratio as a predictor of diabetic foot ulcer amputation. </w:t>
      </w:r>
      <w:r w:rsidRPr="00C84209">
        <w:rPr>
          <w:rStyle w:val="Emphasis"/>
          <w:i w:val="0"/>
          <w:sz w:val="20"/>
          <w:szCs w:val="20"/>
        </w:rPr>
        <w:t>BMC Endocr Disord</w:t>
      </w:r>
      <w:r w:rsidRPr="00C84209">
        <w:rPr>
          <w:rStyle w:val="Emphasis"/>
          <w:sz w:val="20"/>
          <w:szCs w:val="20"/>
        </w:rPr>
        <w:t>.</w:t>
      </w:r>
      <w:r w:rsidRPr="00C84209">
        <w:rPr>
          <w:sz w:val="20"/>
          <w:szCs w:val="20"/>
        </w:rPr>
        <w:t xml:space="preserve"> 2025; doi:10.1186/s12902-025-01941-0.</w:t>
      </w:r>
    </w:p>
    <w:p w14:paraId="5BE95C79" w14:textId="0809A695" w:rsidR="00E9018E" w:rsidRPr="00C84209" w:rsidRDefault="00E60309" w:rsidP="0060618B">
      <w:pPr>
        <w:pStyle w:val="NormalWeb"/>
        <w:numPr>
          <w:ilvl w:val="0"/>
          <w:numId w:val="1"/>
        </w:numPr>
        <w:spacing w:before="0" w:beforeAutospacing="0" w:after="0" w:afterAutospacing="0" w:line="276" w:lineRule="auto"/>
        <w:jc w:val="both"/>
        <w:rPr>
          <w:sz w:val="20"/>
          <w:szCs w:val="20"/>
        </w:rPr>
      </w:pPr>
      <w:r w:rsidRPr="00C84209">
        <w:rPr>
          <w:sz w:val="20"/>
          <w:szCs w:val="20"/>
        </w:rPr>
        <w:t xml:space="preserve">Zia Ur Rehman, Shaikh H, Bachani F. Predictive value of neutrophil-to-lymphocyte ratio in diabetic foot ulcer outcomes. </w:t>
      </w:r>
      <w:r w:rsidRPr="00C84209">
        <w:rPr>
          <w:rStyle w:val="Strong"/>
          <w:b w:val="0"/>
          <w:sz w:val="20"/>
          <w:szCs w:val="20"/>
        </w:rPr>
        <w:t>J Pak Med Assoc.</w:t>
      </w:r>
      <w:r w:rsidR="00C84209" w:rsidRPr="00C84209">
        <w:rPr>
          <w:sz w:val="20"/>
          <w:szCs w:val="20"/>
        </w:rPr>
        <w:t xml:space="preserve"> 2024;74(12):2096-100</w:t>
      </w:r>
      <w:r w:rsidRPr="00C84209">
        <w:rPr>
          <w:sz w:val="20"/>
          <w:szCs w:val="20"/>
        </w:rPr>
        <w:t>.</w:t>
      </w:r>
    </w:p>
    <w:p w14:paraId="228D7D9A" w14:textId="4606ECBC" w:rsidR="001D58BF" w:rsidRPr="00C84209" w:rsidRDefault="00E60309" w:rsidP="0060618B">
      <w:pPr>
        <w:pStyle w:val="NormalWeb"/>
        <w:numPr>
          <w:ilvl w:val="0"/>
          <w:numId w:val="1"/>
        </w:numPr>
        <w:spacing w:before="0" w:beforeAutospacing="0" w:after="0" w:afterAutospacing="0" w:line="276" w:lineRule="auto"/>
        <w:jc w:val="both"/>
        <w:rPr>
          <w:sz w:val="20"/>
          <w:szCs w:val="20"/>
        </w:rPr>
      </w:pPr>
      <w:r w:rsidRPr="00C84209">
        <w:rPr>
          <w:sz w:val="20"/>
          <w:szCs w:val="20"/>
        </w:rPr>
        <w:t xml:space="preserve">Noor HT, Butt NF, Latif H, Rathore R, Bangash AF, Iqbal A. Study of platelet-to-lymphocyte ratio as a predictor inflammatory marker for diabetic nephropathy in patients with type 2 diabetes mellitus. </w:t>
      </w:r>
      <w:r w:rsidRPr="00C84209">
        <w:rPr>
          <w:rStyle w:val="Strong"/>
          <w:b w:val="0"/>
          <w:sz w:val="20"/>
          <w:szCs w:val="20"/>
        </w:rPr>
        <w:t>J Pak Soc Intern Med.</w:t>
      </w:r>
      <w:r w:rsidRPr="00C84209">
        <w:rPr>
          <w:sz w:val="20"/>
          <w:szCs w:val="20"/>
        </w:rPr>
        <w:t xml:space="preserve"> 2025;6(1):16-21.</w:t>
      </w:r>
    </w:p>
    <w:p w14:paraId="29184926" w14:textId="77777777" w:rsidR="00CB11D8" w:rsidRPr="0060618B" w:rsidRDefault="00CB11D8" w:rsidP="0060618B">
      <w:pPr>
        <w:pStyle w:val="NormalWeb"/>
        <w:spacing w:before="0" w:beforeAutospacing="0" w:after="0" w:afterAutospacing="0" w:line="276" w:lineRule="auto"/>
        <w:ind w:left="720"/>
        <w:jc w:val="both"/>
        <w:rPr>
          <w:sz w:val="22"/>
          <w:szCs w:val="22"/>
        </w:rPr>
      </w:pPr>
    </w:p>
    <w:p w14:paraId="58EACD97" w14:textId="77777777" w:rsidR="00CB11D8" w:rsidRPr="0060618B" w:rsidRDefault="00CB11D8" w:rsidP="0060618B">
      <w:pPr>
        <w:pStyle w:val="NormalWeb"/>
        <w:spacing w:before="0" w:beforeAutospacing="0" w:after="0" w:afterAutospacing="0" w:line="276" w:lineRule="auto"/>
        <w:ind w:left="720"/>
        <w:jc w:val="both"/>
        <w:rPr>
          <w:sz w:val="22"/>
          <w:szCs w:val="22"/>
        </w:rPr>
      </w:pPr>
    </w:p>
    <w:p w14:paraId="42DDF09F" w14:textId="77777777" w:rsidR="00CB11D8" w:rsidRPr="0060618B" w:rsidRDefault="00CB11D8" w:rsidP="0060618B">
      <w:pPr>
        <w:pStyle w:val="NormalWeb"/>
        <w:spacing w:before="0" w:beforeAutospacing="0" w:after="0" w:afterAutospacing="0" w:line="276" w:lineRule="auto"/>
        <w:ind w:left="720"/>
        <w:jc w:val="both"/>
        <w:rPr>
          <w:sz w:val="22"/>
          <w:szCs w:val="22"/>
        </w:rPr>
      </w:pPr>
    </w:p>
    <w:p w14:paraId="5764EAA3" w14:textId="77777777" w:rsidR="00CB11D8" w:rsidRPr="0060618B" w:rsidRDefault="00CB11D8" w:rsidP="0060618B">
      <w:pPr>
        <w:pStyle w:val="NormalWeb"/>
        <w:spacing w:before="0" w:beforeAutospacing="0" w:after="0" w:afterAutospacing="0" w:line="276" w:lineRule="auto"/>
        <w:ind w:left="720"/>
        <w:jc w:val="both"/>
        <w:rPr>
          <w:sz w:val="22"/>
          <w:szCs w:val="22"/>
        </w:rPr>
      </w:pPr>
    </w:p>
    <w:p w14:paraId="558A581D" w14:textId="77777777" w:rsidR="00CB11D8" w:rsidRPr="0060618B" w:rsidRDefault="00CB11D8" w:rsidP="0060618B">
      <w:pPr>
        <w:pStyle w:val="NormalWeb"/>
        <w:spacing w:before="0" w:beforeAutospacing="0" w:after="0" w:afterAutospacing="0" w:line="276" w:lineRule="auto"/>
        <w:ind w:left="720"/>
        <w:jc w:val="both"/>
        <w:rPr>
          <w:sz w:val="22"/>
          <w:szCs w:val="22"/>
        </w:rPr>
      </w:pPr>
    </w:p>
    <w:p w14:paraId="376335C4" w14:textId="77777777" w:rsidR="00CB11D8" w:rsidRPr="0060618B" w:rsidRDefault="00CB11D8" w:rsidP="0060618B">
      <w:pPr>
        <w:pStyle w:val="NormalWeb"/>
        <w:spacing w:before="0" w:beforeAutospacing="0" w:after="0" w:afterAutospacing="0" w:line="276" w:lineRule="auto"/>
        <w:ind w:left="720"/>
        <w:jc w:val="both"/>
        <w:rPr>
          <w:sz w:val="22"/>
          <w:szCs w:val="22"/>
        </w:rPr>
      </w:pPr>
    </w:p>
    <w:sectPr w:rsidR="00CB11D8" w:rsidRPr="0060618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51183" w14:textId="77777777" w:rsidR="005D2E7C" w:rsidRDefault="005D2E7C" w:rsidP="00CB11D8">
      <w:pPr>
        <w:spacing w:after="0" w:line="240" w:lineRule="auto"/>
      </w:pPr>
      <w:r>
        <w:separator/>
      </w:r>
    </w:p>
  </w:endnote>
  <w:endnote w:type="continuationSeparator" w:id="0">
    <w:p w14:paraId="0A20C262" w14:textId="77777777" w:rsidR="005D2E7C" w:rsidRDefault="005D2E7C" w:rsidP="00CB1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5848126"/>
      <w:docPartObj>
        <w:docPartGallery w:val="Page Numbers (Bottom of Page)"/>
        <w:docPartUnique/>
      </w:docPartObj>
    </w:sdtPr>
    <w:sdtEndPr>
      <w:rPr>
        <w:noProof/>
      </w:rPr>
    </w:sdtEndPr>
    <w:sdtContent>
      <w:p w14:paraId="5CC7801B" w14:textId="77777777" w:rsidR="00786E87" w:rsidRDefault="00786E87">
        <w:pPr>
          <w:pStyle w:val="Footer"/>
        </w:pPr>
        <w:r>
          <w:fldChar w:fldCharType="begin"/>
        </w:r>
        <w:r>
          <w:instrText xml:space="preserve"> PAGE   \* MERGEFORMAT </w:instrText>
        </w:r>
        <w:r>
          <w:fldChar w:fldCharType="separate"/>
        </w:r>
        <w:r w:rsidR="003154CB">
          <w:rPr>
            <w:noProof/>
          </w:rPr>
          <w:t>1</w:t>
        </w:r>
        <w:r>
          <w:rPr>
            <w:noProof/>
          </w:rPr>
          <w:fldChar w:fldCharType="end"/>
        </w:r>
      </w:p>
    </w:sdtContent>
  </w:sdt>
  <w:p w14:paraId="6C8A75E8" w14:textId="77777777" w:rsidR="00786E87" w:rsidRDefault="00786E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70D20" w14:textId="77777777" w:rsidR="005D2E7C" w:rsidRDefault="005D2E7C" w:rsidP="00CB11D8">
      <w:pPr>
        <w:spacing w:after="0" w:line="240" w:lineRule="auto"/>
      </w:pPr>
      <w:r>
        <w:separator/>
      </w:r>
    </w:p>
  </w:footnote>
  <w:footnote w:type="continuationSeparator" w:id="0">
    <w:p w14:paraId="3268DC5E" w14:textId="77777777" w:rsidR="005D2E7C" w:rsidRDefault="005D2E7C" w:rsidP="00CB11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90FA0"/>
    <w:multiLevelType w:val="multilevel"/>
    <w:tmpl w:val="3E78F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765BB6"/>
    <w:multiLevelType w:val="multilevel"/>
    <w:tmpl w:val="595EE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17034A"/>
    <w:multiLevelType w:val="multilevel"/>
    <w:tmpl w:val="B01E0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40A10F6"/>
    <w:multiLevelType w:val="multilevel"/>
    <w:tmpl w:val="D8803DC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9211716">
    <w:abstractNumId w:val="2"/>
  </w:num>
  <w:num w:numId="2" w16cid:durableId="1695420863">
    <w:abstractNumId w:val="0"/>
  </w:num>
  <w:num w:numId="3" w16cid:durableId="176967859">
    <w:abstractNumId w:val="1"/>
  </w:num>
  <w:num w:numId="4" w16cid:durableId="15114130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61BF"/>
    <w:rsid w:val="00014F8A"/>
    <w:rsid w:val="0002190A"/>
    <w:rsid w:val="00021F8D"/>
    <w:rsid w:val="0002657A"/>
    <w:rsid w:val="000403F5"/>
    <w:rsid w:val="0005693C"/>
    <w:rsid w:val="000A6D05"/>
    <w:rsid w:val="000B2662"/>
    <w:rsid w:val="000C451D"/>
    <w:rsid w:val="000C59C7"/>
    <w:rsid w:val="000D1603"/>
    <w:rsid w:val="000D1D4E"/>
    <w:rsid w:val="000D2AF4"/>
    <w:rsid w:val="000D3FC6"/>
    <w:rsid w:val="0010419F"/>
    <w:rsid w:val="00112351"/>
    <w:rsid w:val="001237A7"/>
    <w:rsid w:val="00125ADA"/>
    <w:rsid w:val="0012640F"/>
    <w:rsid w:val="00126AA2"/>
    <w:rsid w:val="00127003"/>
    <w:rsid w:val="00134AC3"/>
    <w:rsid w:val="001678C9"/>
    <w:rsid w:val="0017373B"/>
    <w:rsid w:val="00196990"/>
    <w:rsid w:val="001A185C"/>
    <w:rsid w:val="001B38CE"/>
    <w:rsid w:val="001B62D6"/>
    <w:rsid w:val="001C7963"/>
    <w:rsid w:val="001D58BF"/>
    <w:rsid w:val="001E3E0F"/>
    <w:rsid w:val="00204C1D"/>
    <w:rsid w:val="002168FC"/>
    <w:rsid w:val="00224A91"/>
    <w:rsid w:val="00224AEC"/>
    <w:rsid w:val="00231CB2"/>
    <w:rsid w:val="002623EE"/>
    <w:rsid w:val="00267F19"/>
    <w:rsid w:val="00275BCF"/>
    <w:rsid w:val="00277EA9"/>
    <w:rsid w:val="00286A60"/>
    <w:rsid w:val="0029193E"/>
    <w:rsid w:val="00294D76"/>
    <w:rsid w:val="002B48A2"/>
    <w:rsid w:val="002C769F"/>
    <w:rsid w:val="002D72E1"/>
    <w:rsid w:val="002E7541"/>
    <w:rsid w:val="002F2271"/>
    <w:rsid w:val="002F23EF"/>
    <w:rsid w:val="002F4A4D"/>
    <w:rsid w:val="002F70F7"/>
    <w:rsid w:val="0030238E"/>
    <w:rsid w:val="00304442"/>
    <w:rsid w:val="003154CB"/>
    <w:rsid w:val="00323DDD"/>
    <w:rsid w:val="00334BAB"/>
    <w:rsid w:val="0033526E"/>
    <w:rsid w:val="00336A4C"/>
    <w:rsid w:val="00345BC6"/>
    <w:rsid w:val="00353CAE"/>
    <w:rsid w:val="003752E3"/>
    <w:rsid w:val="003801DE"/>
    <w:rsid w:val="003840FE"/>
    <w:rsid w:val="003D2578"/>
    <w:rsid w:val="003F6FFF"/>
    <w:rsid w:val="0040447E"/>
    <w:rsid w:val="00416426"/>
    <w:rsid w:val="00430B06"/>
    <w:rsid w:val="00432318"/>
    <w:rsid w:val="00445B04"/>
    <w:rsid w:val="0044660E"/>
    <w:rsid w:val="0047234F"/>
    <w:rsid w:val="004821FE"/>
    <w:rsid w:val="00495B58"/>
    <w:rsid w:val="004A2148"/>
    <w:rsid w:val="004A4E60"/>
    <w:rsid w:val="004C40F1"/>
    <w:rsid w:val="004D163A"/>
    <w:rsid w:val="004D4E9A"/>
    <w:rsid w:val="004F3981"/>
    <w:rsid w:val="00507916"/>
    <w:rsid w:val="00510DC0"/>
    <w:rsid w:val="00514440"/>
    <w:rsid w:val="0052091F"/>
    <w:rsid w:val="005243DF"/>
    <w:rsid w:val="005270B8"/>
    <w:rsid w:val="00575D65"/>
    <w:rsid w:val="005A164F"/>
    <w:rsid w:val="005A289E"/>
    <w:rsid w:val="005B5A2E"/>
    <w:rsid w:val="005C5E98"/>
    <w:rsid w:val="005D2E7C"/>
    <w:rsid w:val="005E1357"/>
    <w:rsid w:val="0060618B"/>
    <w:rsid w:val="006166AA"/>
    <w:rsid w:val="00617C8E"/>
    <w:rsid w:val="006225D2"/>
    <w:rsid w:val="006261BF"/>
    <w:rsid w:val="00627CED"/>
    <w:rsid w:val="006457CF"/>
    <w:rsid w:val="00653B1C"/>
    <w:rsid w:val="006547FC"/>
    <w:rsid w:val="0067162B"/>
    <w:rsid w:val="00674A6B"/>
    <w:rsid w:val="00680997"/>
    <w:rsid w:val="006839A2"/>
    <w:rsid w:val="00694E97"/>
    <w:rsid w:val="0069713F"/>
    <w:rsid w:val="006A6EB9"/>
    <w:rsid w:val="007035E4"/>
    <w:rsid w:val="007330EE"/>
    <w:rsid w:val="00737E1F"/>
    <w:rsid w:val="00744677"/>
    <w:rsid w:val="00755041"/>
    <w:rsid w:val="00770523"/>
    <w:rsid w:val="00774238"/>
    <w:rsid w:val="00776F9B"/>
    <w:rsid w:val="007849C0"/>
    <w:rsid w:val="00786E87"/>
    <w:rsid w:val="007B4D92"/>
    <w:rsid w:val="007B72FE"/>
    <w:rsid w:val="007D0495"/>
    <w:rsid w:val="007D47AD"/>
    <w:rsid w:val="007E51C7"/>
    <w:rsid w:val="007F5CDA"/>
    <w:rsid w:val="007F65E6"/>
    <w:rsid w:val="00826378"/>
    <w:rsid w:val="0083049F"/>
    <w:rsid w:val="00855AC2"/>
    <w:rsid w:val="008679B2"/>
    <w:rsid w:val="008819A5"/>
    <w:rsid w:val="00887D17"/>
    <w:rsid w:val="008A0948"/>
    <w:rsid w:val="008A26F2"/>
    <w:rsid w:val="008A5EED"/>
    <w:rsid w:val="008C20B8"/>
    <w:rsid w:val="008E5F97"/>
    <w:rsid w:val="008F18EB"/>
    <w:rsid w:val="008F3874"/>
    <w:rsid w:val="009044BA"/>
    <w:rsid w:val="009077DA"/>
    <w:rsid w:val="00916AA8"/>
    <w:rsid w:val="0092684E"/>
    <w:rsid w:val="00937613"/>
    <w:rsid w:val="0094382D"/>
    <w:rsid w:val="00974323"/>
    <w:rsid w:val="009829F8"/>
    <w:rsid w:val="009B7F9E"/>
    <w:rsid w:val="009C5835"/>
    <w:rsid w:val="009D0FEE"/>
    <w:rsid w:val="009E5BCE"/>
    <w:rsid w:val="009F36E7"/>
    <w:rsid w:val="009F6011"/>
    <w:rsid w:val="00A04525"/>
    <w:rsid w:val="00A12BBB"/>
    <w:rsid w:val="00A17DCA"/>
    <w:rsid w:val="00A24973"/>
    <w:rsid w:val="00A447A9"/>
    <w:rsid w:val="00A562A9"/>
    <w:rsid w:val="00A75925"/>
    <w:rsid w:val="00A76D74"/>
    <w:rsid w:val="00AA1516"/>
    <w:rsid w:val="00AA2D7B"/>
    <w:rsid w:val="00AB7166"/>
    <w:rsid w:val="00AE0CBA"/>
    <w:rsid w:val="00B02131"/>
    <w:rsid w:val="00B229D0"/>
    <w:rsid w:val="00B60CED"/>
    <w:rsid w:val="00B729F2"/>
    <w:rsid w:val="00B866D4"/>
    <w:rsid w:val="00BB1903"/>
    <w:rsid w:val="00BC052F"/>
    <w:rsid w:val="00BD353D"/>
    <w:rsid w:val="00BE5263"/>
    <w:rsid w:val="00BF5C5B"/>
    <w:rsid w:val="00C16D72"/>
    <w:rsid w:val="00C1729A"/>
    <w:rsid w:val="00C218ED"/>
    <w:rsid w:val="00C262F4"/>
    <w:rsid w:val="00C32CCD"/>
    <w:rsid w:val="00C3767E"/>
    <w:rsid w:val="00C377DD"/>
    <w:rsid w:val="00C437F1"/>
    <w:rsid w:val="00C53B18"/>
    <w:rsid w:val="00C84209"/>
    <w:rsid w:val="00CA4B7E"/>
    <w:rsid w:val="00CA6D5B"/>
    <w:rsid w:val="00CB11D8"/>
    <w:rsid w:val="00CB189D"/>
    <w:rsid w:val="00CD6730"/>
    <w:rsid w:val="00CF522E"/>
    <w:rsid w:val="00CF5C23"/>
    <w:rsid w:val="00D42228"/>
    <w:rsid w:val="00D4351A"/>
    <w:rsid w:val="00D711B6"/>
    <w:rsid w:val="00D766F0"/>
    <w:rsid w:val="00D8024F"/>
    <w:rsid w:val="00DC683A"/>
    <w:rsid w:val="00DC70CB"/>
    <w:rsid w:val="00E36821"/>
    <w:rsid w:val="00E53CCA"/>
    <w:rsid w:val="00E60309"/>
    <w:rsid w:val="00E60DD8"/>
    <w:rsid w:val="00E67918"/>
    <w:rsid w:val="00E9018E"/>
    <w:rsid w:val="00EA0D0B"/>
    <w:rsid w:val="00EB1C3D"/>
    <w:rsid w:val="00EC5929"/>
    <w:rsid w:val="00F06AE9"/>
    <w:rsid w:val="00F07C64"/>
    <w:rsid w:val="00F201C4"/>
    <w:rsid w:val="00F53F22"/>
    <w:rsid w:val="00F63FC1"/>
    <w:rsid w:val="00F71390"/>
    <w:rsid w:val="00F71F53"/>
    <w:rsid w:val="00F74A09"/>
    <w:rsid w:val="00F76CD5"/>
    <w:rsid w:val="00FB7416"/>
    <w:rsid w:val="00FE5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40E30"/>
  <w15:docId w15:val="{857DBF75-2E87-4E1D-A8BB-820E3DF32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1BF"/>
  </w:style>
  <w:style w:type="paragraph" w:styleId="Heading2">
    <w:name w:val="heading 2"/>
    <w:basedOn w:val="Normal"/>
    <w:next w:val="Normal"/>
    <w:link w:val="Heading2Char"/>
    <w:uiPriority w:val="9"/>
    <w:semiHidden/>
    <w:unhideWhenUsed/>
    <w:qFormat/>
    <w:rsid w:val="008A26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261B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261BF"/>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6261B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261BF"/>
    <w:rPr>
      <w:b/>
      <w:bCs/>
    </w:rPr>
  </w:style>
  <w:style w:type="character" w:styleId="Emphasis">
    <w:name w:val="Emphasis"/>
    <w:basedOn w:val="DefaultParagraphFont"/>
    <w:uiPriority w:val="20"/>
    <w:qFormat/>
    <w:rsid w:val="006261BF"/>
    <w:rPr>
      <w:i/>
      <w:iCs/>
    </w:rPr>
  </w:style>
  <w:style w:type="table" w:styleId="TableGrid">
    <w:name w:val="Table Grid"/>
    <w:basedOn w:val="TableNormal"/>
    <w:uiPriority w:val="59"/>
    <w:rsid w:val="006261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rewrittenword">
    <w:name w:val="not_rewrittenword"/>
    <w:basedOn w:val="DefaultParagraphFont"/>
    <w:rsid w:val="006261BF"/>
  </w:style>
  <w:style w:type="character" w:customStyle="1" w:styleId="rewrittenword">
    <w:name w:val="rewrittenword"/>
    <w:basedOn w:val="DefaultParagraphFont"/>
    <w:rsid w:val="006261BF"/>
  </w:style>
  <w:style w:type="character" w:styleId="Hyperlink">
    <w:name w:val="Hyperlink"/>
    <w:basedOn w:val="DefaultParagraphFont"/>
    <w:uiPriority w:val="99"/>
    <w:unhideWhenUsed/>
    <w:rsid w:val="006261BF"/>
    <w:rPr>
      <w:color w:val="0000FF"/>
      <w:u w:val="single"/>
    </w:rPr>
  </w:style>
  <w:style w:type="paragraph" w:styleId="ListParagraph">
    <w:name w:val="List Paragraph"/>
    <w:basedOn w:val="Normal"/>
    <w:uiPriority w:val="34"/>
    <w:qFormat/>
    <w:rsid w:val="006261BF"/>
    <w:pPr>
      <w:spacing w:after="200" w:line="276" w:lineRule="auto"/>
      <w:ind w:left="720"/>
      <w:contextualSpacing/>
    </w:pPr>
  </w:style>
  <w:style w:type="character" w:styleId="HTMLCite">
    <w:name w:val="HTML Cite"/>
    <w:basedOn w:val="DefaultParagraphFont"/>
    <w:uiPriority w:val="99"/>
    <w:semiHidden/>
    <w:unhideWhenUsed/>
    <w:rsid w:val="006261BF"/>
    <w:rPr>
      <w:i/>
      <w:iCs/>
    </w:rPr>
  </w:style>
  <w:style w:type="paragraph" w:styleId="Header">
    <w:name w:val="header"/>
    <w:basedOn w:val="Normal"/>
    <w:link w:val="HeaderChar"/>
    <w:uiPriority w:val="99"/>
    <w:unhideWhenUsed/>
    <w:rsid w:val="00CB11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1D8"/>
  </w:style>
  <w:style w:type="paragraph" w:styleId="Footer">
    <w:name w:val="footer"/>
    <w:basedOn w:val="Normal"/>
    <w:link w:val="FooterChar"/>
    <w:uiPriority w:val="99"/>
    <w:unhideWhenUsed/>
    <w:rsid w:val="00CB11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1D8"/>
  </w:style>
  <w:style w:type="character" w:styleId="CommentReference">
    <w:name w:val="annotation reference"/>
    <w:basedOn w:val="DefaultParagraphFont"/>
    <w:uiPriority w:val="99"/>
    <w:semiHidden/>
    <w:unhideWhenUsed/>
    <w:rsid w:val="00855AC2"/>
    <w:rPr>
      <w:sz w:val="16"/>
      <w:szCs w:val="16"/>
    </w:rPr>
  </w:style>
  <w:style w:type="paragraph" w:styleId="CommentText">
    <w:name w:val="annotation text"/>
    <w:basedOn w:val="Normal"/>
    <w:link w:val="CommentTextChar"/>
    <w:uiPriority w:val="99"/>
    <w:semiHidden/>
    <w:unhideWhenUsed/>
    <w:rsid w:val="00855AC2"/>
    <w:pPr>
      <w:spacing w:line="240" w:lineRule="auto"/>
    </w:pPr>
    <w:rPr>
      <w:sz w:val="20"/>
      <w:szCs w:val="20"/>
    </w:rPr>
  </w:style>
  <w:style w:type="character" w:customStyle="1" w:styleId="CommentTextChar">
    <w:name w:val="Comment Text Char"/>
    <w:basedOn w:val="DefaultParagraphFont"/>
    <w:link w:val="CommentText"/>
    <w:uiPriority w:val="99"/>
    <w:semiHidden/>
    <w:rsid w:val="00855AC2"/>
    <w:rPr>
      <w:sz w:val="20"/>
      <w:szCs w:val="20"/>
    </w:rPr>
  </w:style>
  <w:style w:type="paragraph" w:styleId="CommentSubject">
    <w:name w:val="annotation subject"/>
    <w:basedOn w:val="CommentText"/>
    <w:next w:val="CommentText"/>
    <w:link w:val="CommentSubjectChar"/>
    <w:uiPriority w:val="99"/>
    <w:semiHidden/>
    <w:unhideWhenUsed/>
    <w:rsid w:val="00855AC2"/>
    <w:rPr>
      <w:b/>
      <w:bCs/>
    </w:rPr>
  </w:style>
  <w:style w:type="character" w:customStyle="1" w:styleId="CommentSubjectChar">
    <w:name w:val="Comment Subject Char"/>
    <w:basedOn w:val="CommentTextChar"/>
    <w:link w:val="CommentSubject"/>
    <w:uiPriority w:val="99"/>
    <w:semiHidden/>
    <w:rsid w:val="00855AC2"/>
    <w:rPr>
      <w:b/>
      <w:bCs/>
      <w:sz w:val="20"/>
      <w:szCs w:val="20"/>
    </w:rPr>
  </w:style>
  <w:style w:type="paragraph" w:styleId="BalloonText">
    <w:name w:val="Balloon Text"/>
    <w:basedOn w:val="Normal"/>
    <w:link w:val="BalloonTextChar"/>
    <w:uiPriority w:val="99"/>
    <w:semiHidden/>
    <w:unhideWhenUsed/>
    <w:rsid w:val="00855A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5AC2"/>
    <w:rPr>
      <w:rFonts w:ascii="Segoe UI" w:hAnsi="Segoe UI" w:cs="Segoe UI"/>
      <w:sz w:val="18"/>
      <w:szCs w:val="18"/>
    </w:rPr>
  </w:style>
  <w:style w:type="paragraph" w:styleId="BodyText">
    <w:name w:val="Body Text"/>
    <w:basedOn w:val="Normal"/>
    <w:link w:val="BodyTextChar"/>
    <w:uiPriority w:val="1"/>
    <w:qFormat/>
    <w:rsid w:val="005E1357"/>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E1357"/>
    <w:rPr>
      <w:rFonts w:ascii="Times New Roman" w:eastAsia="Times New Roman" w:hAnsi="Times New Roman" w:cs="Times New Roman"/>
      <w:sz w:val="24"/>
      <w:szCs w:val="24"/>
    </w:rPr>
  </w:style>
  <w:style w:type="paragraph" w:styleId="Title">
    <w:name w:val="Title"/>
    <w:basedOn w:val="Normal"/>
    <w:link w:val="TitleChar"/>
    <w:uiPriority w:val="1"/>
    <w:qFormat/>
    <w:rsid w:val="00514440"/>
    <w:pPr>
      <w:widowControl w:val="0"/>
      <w:autoSpaceDE w:val="0"/>
      <w:autoSpaceDN w:val="0"/>
      <w:spacing w:before="1" w:after="0" w:line="240" w:lineRule="auto"/>
      <w:ind w:left="552" w:right="398" w:hanging="2"/>
      <w:jc w:val="center"/>
    </w:pPr>
    <w:rPr>
      <w:rFonts w:ascii="Gill Sans MT" w:eastAsia="Gill Sans MT" w:hAnsi="Gill Sans MT" w:cs="Gill Sans MT"/>
      <w:b/>
      <w:bCs/>
      <w:sz w:val="34"/>
      <w:szCs w:val="34"/>
    </w:rPr>
  </w:style>
  <w:style w:type="character" w:customStyle="1" w:styleId="TitleChar">
    <w:name w:val="Title Char"/>
    <w:basedOn w:val="DefaultParagraphFont"/>
    <w:link w:val="Title"/>
    <w:uiPriority w:val="1"/>
    <w:rsid w:val="00514440"/>
    <w:rPr>
      <w:rFonts w:ascii="Gill Sans MT" w:eastAsia="Gill Sans MT" w:hAnsi="Gill Sans MT" w:cs="Gill Sans MT"/>
      <w:b/>
      <w:bCs/>
      <w:sz w:val="34"/>
      <w:szCs w:val="34"/>
    </w:rPr>
  </w:style>
  <w:style w:type="character" w:customStyle="1" w:styleId="Heading2Char">
    <w:name w:val="Heading 2 Char"/>
    <w:basedOn w:val="DefaultParagraphFont"/>
    <w:link w:val="Heading2"/>
    <w:uiPriority w:val="9"/>
    <w:semiHidden/>
    <w:rsid w:val="008A26F2"/>
    <w:rPr>
      <w:rFonts w:asciiTheme="majorHAnsi" w:eastAsiaTheme="majorEastAsia" w:hAnsiTheme="majorHAnsi" w:cstheme="majorBidi"/>
      <w:color w:val="2E74B5" w:themeColor="accent1" w:themeShade="BF"/>
      <w:sz w:val="26"/>
      <w:szCs w:val="26"/>
    </w:rPr>
  </w:style>
  <w:style w:type="character" w:customStyle="1" w:styleId="UnresolvedMention1">
    <w:name w:val="Unresolved Mention1"/>
    <w:basedOn w:val="DefaultParagraphFont"/>
    <w:uiPriority w:val="99"/>
    <w:semiHidden/>
    <w:unhideWhenUsed/>
    <w:rsid w:val="00EB1C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91706">
      <w:bodyDiv w:val="1"/>
      <w:marLeft w:val="0"/>
      <w:marRight w:val="0"/>
      <w:marTop w:val="0"/>
      <w:marBottom w:val="0"/>
      <w:divBdr>
        <w:top w:val="none" w:sz="0" w:space="0" w:color="auto"/>
        <w:left w:val="none" w:sz="0" w:space="0" w:color="auto"/>
        <w:bottom w:val="none" w:sz="0" w:space="0" w:color="auto"/>
        <w:right w:val="none" w:sz="0" w:space="0" w:color="auto"/>
      </w:divBdr>
      <w:divsChild>
        <w:div w:id="741025331">
          <w:marLeft w:val="0"/>
          <w:marRight w:val="0"/>
          <w:marTop w:val="0"/>
          <w:marBottom w:val="0"/>
          <w:divBdr>
            <w:top w:val="none" w:sz="0" w:space="0" w:color="auto"/>
            <w:left w:val="none" w:sz="0" w:space="0" w:color="auto"/>
            <w:bottom w:val="none" w:sz="0" w:space="0" w:color="auto"/>
            <w:right w:val="none" w:sz="0" w:space="0" w:color="auto"/>
          </w:divBdr>
        </w:div>
      </w:divsChild>
    </w:div>
    <w:div w:id="110436291">
      <w:bodyDiv w:val="1"/>
      <w:marLeft w:val="0"/>
      <w:marRight w:val="0"/>
      <w:marTop w:val="0"/>
      <w:marBottom w:val="0"/>
      <w:divBdr>
        <w:top w:val="none" w:sz="0" w:space="0" w:color="auto"/>
        <w:left w:val="none" w:sz="0" w:space="0" w:color="auto"/>
        <w:bottom w:val="none" w:sz="0" w:space="0" w:color="auto"/>
        <w:right w:val="none" w:sz="0" w:space="0" w:color="auto"/>
      </w:divBdr>
    </w:div>
    <w:div w:id="263462644">
      <w:bodyDiv w:val="1"/>
      <w:marLeft w:val="0"/>
      <w:marRight w:val="0"/>
      <w:marTop w:val="0"/>
      <w:marBottom w:val="0"/>
      <w:divBdr>
        <w:top w:val="none" w:sz="0" w:space="0" w:color="auto"/>
        <w:left w:val="none" w:sz="0" w:space="0" w:color="auto"/>
        <w:bottom w:val="none" w:sz="0" w:space="0" w:color="auto"/>
        <w:right w:val="none" w:sz="0" w:space="0" w:color="auto"/>
      </w:divBdr>
      <w:divsChild>
        <w:div w:id="369649975">
          <w:marLeft w:val="0"/>
          <w:marRight w:val="0"/>
          <w:marTop w:val="0"/>
          <w:marBottom w:val="0"/>
          <w:divBdr>
            <w:top w:val="none" w:sz="0" w:space="0" w:color="auto"/>
            <w:left w:val="none" w:sz="0" w:space="0" w:color="auto"/>
            <w:bottom w:val="none" w:sz="0" w:space="0" w:color="auto"/>
            <w:right w:val="none" w:sz="0" w:space="0" w:color="auto"/>
          </w:divBdr>
        </w:div>
      </w:divsChild>
    </w:div>
    <w:div w:id="398871417">
      <w:bodyDiv w:val="1"/>
      <w:marLeft w:val="0"/>
      <w:marRight w:val="0"/>
      <w:marTop w:val="0"/>
      <w:marBottom w:val="0"/>
      <w:divBdr>
        <w:top w:val="none" w:sz="0" w:space="0" w:color="auto"/>
        <w:left w:val="none" w:sz="0" w:space="0" w:color="auto"/>
        <w:bottom w:val="none" w:sz="0" w:space="0" w:color="auto"/>
        <w:right w:val="none" w:sz="0" w:space="0" w:color="auto"/>
      </w:divBdr>
    </w:div>
    <w:div w:id="863130764">
      <w:bodyDiv w:val="1"/>
      <w:marLeft w:val="0"/>
      <w:marRight w:val="0"/>
      <w:marTop w:val="0"/>
      <w:marBottom w:val="0"/>
      <w:divBdr>
        <w:top w:val="none" w:sz="0" w:space="0" w:color="auto"/>
        <w:left w:val="none" w:sz="0" w:space="0" w:color="auto"/>
        <w:bottom w:val="none" w:sz="0" w:space="0" w:color="auto"/>
        <w:right w:val="none" w:sz="0" w:space="0" w:color="auto"/>
      </w:divBdr>
    </w:div>
    <w:div w:id="1058699583">
      <w:bodyDiv w:val="1"/>
      <w:marLeft w:val="0"/>
      <w:marRight w:val="0"/>
      <w:marTop w:val="0"/>
      <w:marBottom w:val="0"/>
      <w:divBdr>
        <w:top w:val="none" w:sz="0" w:space="0" w:color="auto"/>
        <w:left w:val="none" w:sz="0" w:space="0" w:color="auto"/>
        <w:bottom w:val="none" w:sz="0" w:space="0" w:color="auto"/>
        <w:right w:val="none" w:sz="0" w:space="0" w:color="auto"/>
      </w:divBdr>
    </w:div>
    <w:div w:id="177389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70302/jpsim.v7i3.2637" TargetMode="External"/><Relationship Id="rId3" Type="http://schemas.openxmlformats.org/officeDocument/2006/relationships/settings" Target="settings.xml"/><Relationship Id="rId7" Type="http://schemas.openxmlformats.org/officeDocument/2006/relationships/hyperlink" Target="mailto:drsaleemullah@baqai.edu.p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openep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1039</TotalTime>
  <Pages>9</Pages>
  <Words>4004</Words>
  <Characters>22826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dc:creator>
  <cp:keywords/>
  <dc:description/>
  <cp:lastModifiedBy>PSIM Journal</cp:lastModifiedBy>
  <cp:revision>146</cp:revision>
  <dcterms:created xsi:type="dcterms:W3CDTF">2026-01-28T18:23:00Z</dcterms:created>
  <dcterms:modified xsi:type="dcterms:W3CDTF">2026-08-12T09:31:00Z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f00e7bd9-4f21-45c4-93c6-4ac87175e5e4</vt:lpwstr>
  </property>
</Properties>
</file>