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EE03" w14:textId="77777777" w:rsidR="001B7F87" w:rsidRPr="00710644" w:rsidRDefault="00710644" w:rsidP="00710644">
      <w:pPr>
        <w:jc w:val="center"/>
        <w:rPr>
          <w:rFonts w:asciiTheme="majorBidi" w:eastAsia="Times New Roman" w:hAnsiTheme="majorBidi" w:cstheme="majorBidi"/>
          <w:b/>
          <w:bCs/>
          <w:color w:val="00B050"/>
          <w:sz w:val="28"/>
          <w:szCs w:val="24"/>
        </w:rPr>
      </w:pPr>
      <w:r w:rsidRPr="00710644">
        <w:rPr>
          <w:rFonts w:asciiTheme="majorBidi" w:eastAsia="Times New Roman" w:hAnsiTheme="majorBidi" w:cstheme="majorBidi"/>
          <w:b/>
          <w:bCs/>
          <w:color w:val="00B050"/>
          <w:sz w:val="28"/>
          <w:szCs w:val="24"/>
        </w:rPr>
        <w:t>Multidrug-resistant pathogens and outcomes in post-neurosurgical meningitis: A case control study</w:t>
      </w:r>
    </w:p>
    <w:p w14:paraId="113AEE04" w14:textId="77777777" w:rsidR="001B7F87" w:rsidRDefault="00710644" w:rsidP="00710644">
      <w:pPr>
        <w:spacing w:before="240" w:after="240"/>
        <w:rPr>
          <w:rFonts w:ascii="Times New Roman" w:eastAsia="Times New Roman" w:hAnsi="Times New Roman" w:cs="Times New Roman"/>
          <w:b/>
          <w:vertAlign w:val="superscript"/>
        </w:rPr>
      </w:pPr>
      <w:r>
        <w:rPr>
          <w:rFonts w:ascii="Times New Roman" w:eastAsia="Times New Roman" w:hAnsi="Times New Roman" w:cs="Times New Roman"/>
          <w:b/>
        </w:rPr>
        <w:t xml:space="preserve">Faiza Ilyas, </w:t>
      </w:r>
      <w:proofErr w:type="spellStart"/>
      <w:r>
        <w:rPr>
          <w:rFonts w:ascii="Times New Roman" w:eastAsia="Times New Roman" w:hAnsi="Times New Roman" w:cs="Times New Roman"/>
          <w:b/>
        </w:rPr>
        <w:t>Shariqa</w:t>
      </w:r>
      <w:proofErr w:type="spellEnd"/>
      <w:r>
        <w:rPr>
          <w:rFonts w:ascii="Times New Roman" w:eastAsia="Times New Roman" w:hAnsi="Times New Roman" w:cs="Times New Roman"/>
          <w:b/>
        </w:rPr>
        <w:t xml:space="preserve"> Batool, Sher M. Sethi, Saadia Sattar, Iffat Khanum, Nosheen Nasir</w:t>
      </w:r>
    </w:p>
    <w:p w14:paraId="113AEE05" w14:textId="77777777" w:rsidR="001B7F87" w:rsidRPr="00710644" w:rsidRDefault="00710644" w:rsidP="00710644">
      <w:pPr>
        <w:spacing w:before="240" w:after="240"/>
        <w:jc w:val="center"/>
        <w:rPr>
          <w:rFonts w:ascii="Times New Roman" w:eastAsia="Times New Roman" w:hAnsi="Times New Roman" w:cs="Times New Roman"/>
          <w:bCs/>
          <w:i/>
        </w:rPr>
      </w:pPr>
      <w:r w:rsidRPr="00710644">
        <w:rPr>
          <w:rFonts w:ascii="Times New Roman" w:eastAsia="Times New Roman" w:hAnsi="Times New Roman" w:cs="Times New Roman"/>
          <w:bCs/>
          <w:i/>
        </w:rPr>
        <w:t>Aga Khan University Hospital, Karachi, Pakistan</w:t>
      </w:r>
    </w:p>
    <w:p w14:paraId="113AEE06" w14:textId="77777777" w:rsidR="00710644" w:rsidRDefault="00710644" w:rsidP="00710644">
      <w:pPr>
        <w:spacing w:line="240" w:lineRule="auto"/>
        <w:jc w:val="both"/>
        <w:rPr>
          <w:rFonts w:asciiTheme="majorBidi" w:eastAsia="Times New Roman" w:hAnsiTheme="majorBidi" w:cstheme="majorBidi"/>
          <w:b/>
          <w:bCs/>
          <w:sz w:val="24"/>
          <w:szCs w:val="24"/>
        </w:rPr>
      </w:pPr>
    </w:p>
    <w:p w14:paraId="113AEE07" w14:textId="77777777" w:rsidR="001B7F87" w:rsidRPr="00710644" w:rsidRDefault="001B7F87" w:rsidP="00710644">
      <w:pPr>
        <w:spacing w:line="360" w:lineRule="auto"/>
        <w:rPr>
          <w:rFonts w:ascii="Times New Roman" w:eastAsia="Times New Roman" w:hAnsi="Times New Roman" w:cs="Times New Roman"/>
          <w:b/>
          <w:bCs/>
          <w:sz w:val="20"/>
          <w:szCs w:val="20"/>
        </w:rPr>
      </w:pPr>
    </w:p>
    <w:p w14:paraId="113AEE08" w14:textId="77777777" w:rsidR="001B7F87" w:rsidRPr="00710644" w:rsidRDefault="00710644" w:rsidP="00710644">
      <w:pPr>
        <w:jc w:val="both"/>
        <w:rPr>
          <w:rFonts w:ascii="Times New Roman" w:hAnsi="Times New Roman" w:cs="Times New Roman"/>
          <w:b/>
          <w:bCs/>
          <w:sz w:val="20"/>
          <w:szCs w:val="24"/>
        </w:rPr>
      </w:pPr>
      <w:r w:rsidRPr="00710644">
        <w:rPr>
          <w:rFonts w:ascii="Times New Roman" w:hAnsi="Times New Roman" w:cs="Times New Roman"/>
          <w:b/>
          <w:bCs/>
          <w:sz w:val="20"/>
          <w:szCs w:val="24"/>
        </w:rPr>
        <w:t>Abstract:</w:t>
      </w:r>
    </w:p>
    <w:p w14:paraId="113AEE09" w14:textId="77777777" w:rsidR="001B7F87" w:rsidRPr="008B5EF4" w:rsidRDefault="00710644" w:rsidP="00710644">
      <w:pPr>
        <w:jc w:val="both"/>
        <w:rPr>
          <w:rFonts w:ascii="Times New Roman" w:hAnsi="Times New Roman" w:cs="Times New Roman"/>
          <w:b/>
          <w:bCs/>
          <w:iCs/>
          <w:sz w:val="20"/>
          <w:szCs w:val="24"/>
        </w:rPr>
      </w:pPr>
      <w:r w:rsidRPr="008B5EF4">
        <w:rPr>
          <w:rFonts w:ascii="Times New Roman" w:hAnsi="Times New Roman" w:cs="Times New Roman"/>
          <w:b/>
          <w:bCs/>
          <w:iCs/>
          <w:sz w:val="20"/>
          <w:szCs w:val="24"/>
        </w:rPr>
        <w:t xml:space="preserve">Objective: </w:t>
      </w:r>
      <w:r w:rsidRPr="008B5EF4">
        <w:rPr>
          <w:rFonts w:ascii="Times New Roman" w:hAnsi="Times New Roman" w:cs="Times New Roman"/>
          <w:sz w:val="20"/>
          <w:szCs w:val="24"/>
        </w:rPr>
        <w:t>Post-neurosurgical meningitis remains a significant challenge, particularly in low-resource settings with a high burden of antimicrobial resistance. This study compared risk factors, microbiological profiles, and clinical outcomes between culture-positive and culture-negative nosocomial meningitis.</w:t>
      </w:r>
    </w:p>
    <w:p w14:paraId="113AEE0A" w14:textId="77777777" w:rsidR="001B7F87" w:rsidRPr="008B5EF4" w:rsidRDefault="00710644" w:rsidP="00710644">
      <w:pPr>
        <w:jc w:val="both"/>
        <w:rPr>
          <w:rFonts w:ascii="Times New Roman" w:hAnsi="Times New Roman" w:cs="Times New Roman"/>
          <w:b/>
          <w:bCs/>
          <w:iCs/>
          <w:sz w:val="20"/>
          <w:szCs w:val="24"/>
        </w:rPr>
      </w:pPr>
      <w:r w:rsidRPr="008B5EF4">
        <w:rPr>
          <w:rFonts w:ascii="Times New Roman" w:hAnsi="Times New Roman" w:cs="Times New Roman"/>
          <w:b/>
          <w:bCs/>
          <w:iCs/>
          <w:sz w:val="20"/>
          <w:szCs w:val="24"/>
        </w:rPr>
        <w:t xml:space="preserve">Methods: </w:t>
      </w:r>
      <w:r w:rsidRPr="008B5EF4">
        <w:rPr>
          <w:rFonts w:ascii="Times New Roman" w:hAnsi="Times New Roman" w:cs="Times New Roman"/>
          <w:sz w:val="20"/>
          <w:szCs w:val="24"/>
        </w:rPr>
        <w:t>We conducted a case-control study of adults who developed meningitis following neurosurgical procedures at a tertiary care hospital in Karachi, Pakistan (2013–2022). Patients were categorized into culture-positive (cases) and culture-negative (controls). Demographic, clinical, microbiological, and outcome data were collected. Multivariable logistic regression was used to identify factors independently associated with culture-positive meningitis.</w:t>
      </w:r>
    </w:p>
    <w:p w14:paraId="113AEE0B" w14:textId="77777777" w:rsidR="001B7F87" w:rsidRPr="008B5EF4" w:rsidRDefault="00710644" w:rsidP="00710644">
      <w:pPr>
        <w:jc w:val="both"/>
        <w:rPr>
          <w:rFonts w:ascii="Times New Roman" w:hAnsi="Times New Roman" w:cs="Times New Roman"/>
          <w:b/>
          <w:bCs/>
          <w:iCs/>
          <w:sz w:val="20"/>
          <w:szCs w:val="24"/>
        </w:rPr>
      </w:pPr>
      <w:r w:rsidRPr="008B5EF4">
        <w:rPr>
          <w:rFonts w:ascii="Times New Roman" w:hAnsi="Times New Roman" w:cs="Times New Roman"/>
          <w:b/>
          <w:bCs/>
          <w:iCs/>
          <w:sz w:val="20"/>
          <w:szCs w:val="24"/>
        </w:rPr>
        <w:t xml:space="preserve">Results: </w:t>
      </w:r>
      <w:r w:rsidRPr="008B5EF4">
        <w:rPr>
          <w:rFonts w:ascii="Times New Roman" w:hAnsi="Times New Roman" w:cs="Times New Roman"/>
          <w:sz w:val="20"/>
          <w:szCs w:val="24"/>
        </w:rPr>
        <w:t xml:space="preserve">Among 85 patients, 46 (54%) were culture-positive. Excision of space-occupying lesions (SOL) was more frequent in culture-negative patients on univariate analysis; however, multivariable regression demonstrated that SOL excision was associated with lower odds of culture-positive meningitis (adjusted OR 0.33; 95% CI: 0.11–0.99; p = 0.05). Gram-negative organisms predominated (89%), with multidrug-resistant </w:t>
      </w:r>
      <w:r w:rsidRPr="008B5EF4">
        <w:rPr>
          <w:rFonts w:ascii="Times New Roman" w:hAnsi="Times New Roman" w:cs="Times New Roman"/>
          <w:iCs/>
          <w:sz w:val="20"/>
          <w:szCs w:val="24"/>
        </w:rPr>
        <w:t>Acinetobacter baumannii</w:t>
      </w:r>
      <w:r w:rsidRPr="008B5EF4">
        <w:rPr>
          <w:rFonts w:ascii="Times New Roman" w:hAnsi="Times New Roman" w:cs="Times New Roman"/>
          <w:sz w:val="20"/>
          <w:szCs w:val="24"/>
        </w:rPr>
        <w:t xml:space="preserve"> being the most common isolate. Colistin (37.9%) and amikacin (28.3%) showed the highest antimicrobial susceptibility. Clinical outcomes were significantly worse among culture-positive patients, including higher mortality (28.3% vs. 10.3%; p = 0.05) and </w:t>
      </w:r>
      <w:r w:rsidRPr="008B5EF4">
        <w:rPr>
          <w:rFonts w:ascii="Times New Roman" w:hAnsi="Times New Roman" w:cs="Times New Roman"/>
          <w:sz w:val="20"/>
          <w:szCs w:val="24"/>
          <w:lang w:val="en-US"/>
        </w:rPr>
        <w:t xml:space="preserve">a </w:t>
      </w:r>
      <w:r w:rsidRPr="008B5EF4">
        <w:rPr>
          <w:rFonts w:ascii="Times New Roman" w:hAnsi="Times New Roman" w:cs="Times New Roman"/>
          <w:sz w:val="20"/>
          <w:szCs w:val="24"/>
        </w:rPr>
        <w:t>longer hospital stay (median: 23 vs. 11 days; p &lt; 0.001).</w:t>
      </w:r>
    </w:p>
    <w:p w14:paraId="113AEE0C" w14:textId="77777777" w:rsidR="001B7F87" w:rsidRPr="00710644" w:rsidRDefault="00710644" w:rsidP="00710644">
      <w:pPr>
        <w:jc w:val="both"/>
        <w:rPr>
          <w:rFonts w:ascii="Times New Roman" w:hAnsi="Times New Roman" w:cs="Times New Roman"/>
          <w:b/>
          <w:bCs/>
          <w:i/>
          <w:iCs/>
          <w:sz w:val="20"/>
          <w:szCs w:val="24"/>
        </w:rPr>
      </w:pPr>
      <w:r w:rsidRPr="008B5EF4">
        <w:rPr>
          <w:rFonts w:ascii="Times New Roman" w:hAnsi="Times New Roman" w:cs="Times New Roman"/>
          <w:b/>
          <w:bCs/>
          <w:iCs/>
          <w:sz w:val="20"/>
          <w:szCs w:val="24"/>
        </w:rPr>
        <w:t xml:space="preserve">Conclusion: </w:t>
      </w:r>
      <w:r w:rsidRPr="00710644">
        <w:rPr>
          <w:rFonts w:ascii="Times New Roman" w:hAnsi="Times New Roman" w:cs="Times New Roman"/>
          <w:sz w:val="20"/>
          <w:szCs w:val="24"/>
        </w:rPr>
        <w:t>Culture-positive post-neurosurgical meningitis is predominantly caused by multidrug-resistant gram-negative organisms and is associated with significantly higher mortality and prolonged hospitalization. Improved diagnostic strategies and antimicrobial stewardship are critical in resource-limited neurosurgical settings.</w:t>
      </w:r>
    </w:p>
    <w:p w14:paraId="113AEE0D" w14:textId="77777777" w:rsidR="001B7F87" w:rsidRPr="00710644" w:rsidRDefault="00710644" w:rsidP="00710644">
      <w:pPr>
        <w:jc w:val="both"/>
        <w:rPr>
          <w:rFonts w:ascii="Times New Roman" w:hAnsi="Times New Roman" w:cs="Times New Roman"/>
          <w:b/>
          <w:bCs/>
          <w:sz w:val="20"/>
          <w:szCs w:val="24"/>
        </w:rPr>
      </w:pPr>
      <w:r w:rsidRPr="00710644">
        <w:rPr>
          <w:rFonts w:ascii="Times New Roman" w:hAnsi="Times New Roman" w:cs="Times New Roman"/>
          <w:b/>
          <w:bCs/>
          <w:sz w:val="20"/>
          <w:szCs w:val="24"/>
        </w:rPr>
        <w:t xml:space="preserve">Keywords: </w:t>
      </w:r>
      <w:r w:rsidRPr="00710644">
        <w:rPr>
          <w:rFonts w:ascii="Times New Roman" w:hAnsi="Times New Roman" w:cs="Times New Roman"/>
          <w:sz w:val="20"/>
          <w:szCs w:val="24"/>
        </w:rPr>
        <w:t>nosocomial meningitis</w:t>
      </w:r>
      <w:r>
        <w:rPr>
          <w:rFonts w:ascii="Times New Roman" w:hAnsi="Times New Roman" w:cs="Times New Roman"/>
          <w:sz w:val="20"/>
          <w:szCs w:val="24"/>
        </w:rPr>
        <w:t>, neurosurgical infections, cerebrospinal fluid, antimicrobial resistance,</w:t>
      </w:r>
      <w:r w:rsidRPr="00710644">
        <w:rPr>
          <w:rFonts w:ascii="Times New Roman" w:hAnsi="Times New Roman" w:cs="Times New Roman"/>
          <w:sz w:val="20"/>
          <w:szCs w:val="24"/>
        </w:rPr>
        <w:t xml:space="preserve"> </w:t>
      </w:r>
      <w:r w:rsidRPr="00710644">
        <w:rPr>
          <w:rFonts w:ascii="Times New Roman" w:hAnsi="Times New Roman" w:cs="Times New Roman"/>
          <w:i/>
          <w:iCs/>
          <w:sz w:val="20"/>
          <w:szCs w:val="24"/>
        </w:rPr>
        <w:t>Acinetobacter baumannii</w:t>
      </w:r>
    </w:p>
    <w:p w14:paraId="113AEE0E" w14:textId="77777777" w:rsidR="00710644" w:rsidRPr="000874A6" w:rsidRDefault="00710644" w:rsidP="00710644">
      <w:pPr>
        <w:spacing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How to cite this: </w:t>
      </w:r>
    </w:p>
    <w:p w14:paraId="113AEE0F" w14:textId="77777777" w:rsidR="00710644" w:rsidRPr="000874A6" w:rsidRDefault="00710644" w:rsidP="00710644">
      <w:pPr>
        <w:spacing w:line="240" w:lineRule="auto"/>
        <w:jc w:val="both"/>
        <w:rPr>
          <w:rFonts w:ascii="Times New Roman" w:hAnsi="Times New Roman" w:cs="Times New Roman"/>
          <w:b/>
          <w:bCs/>
          <w:sz w:val="20"/>
          <w:szCs w:val="20"/>
        </w:rPr>
      </w:pPr>
      <w:r w:rsidRPr="00710644">
        <w:rPr>
          <w:rFonts w:ascii="Times New Roman" w:hAnsi="Times New Roman" w:cs="Times New Roman"/>
          <w:bCs/>
          <w:sz w:val="20"/>
          <w:szCs w:val="20"/>
        </w:rPr>
        <w:t>Ilyas F, Batool S, Sethi SM, Sattar S, Khanum I, Nasir N. Multidrug-resistant pathogens and outcomes in post-neurosurgical meningitis: A case control study</w:t>
      </w:r>
      <w:r w:rsidRPr="000874A6">
        <w:rPr>
          <w:rFonts w:ascii="Times New Roman" w:hAnsi="Times New Roman" w:cs="Times New Roman"/>
          <w:sz w:val="20"/>
          <w:szCs w:val="20"/>
        </w:rPr>
        <w:t>. J Pak Soc Intern Med. 2026;7(3):</w:t>
      </w:r>
    </w:p>
    <w:p w14:paraId="113AEE10" w14:textId="77777777" w:rsidR="00710644" w:rsidRPr="000874A6" w:rsidRDefault="00710644" w:rsidP="00710644">
      <w:pPr>
        <w:spacing w:line="240" w:lineRule="auto"/>
        <w:jc w:val="both"/>
        <w:rPr>
          <w:rFonts w:ascii="Times New Roman" w:hAnsi="Times New Roman" w:cs="Times New Roman"/>
          <w:sz w:val="20"/>
          <w:szCs w:val="20"/>
          <w:u w:val="single"/>
        </w:rPr>
      </w:pPr>
      <w:r w:rsidRPr="000874A6">
        <w:rPr>
          <w:rFonts w:ascii="Times New Roman" w:hAnsi="Times New Roman" w:cs="Times New Roman"/>
          <w:b/>
          <w:bCs/>
          <w:sz w:val="20"/>
          <w:szCs w:val="20"/>
        </w:rPr>
        <w:t>Corresponding Author:</w:t>
      </w:r>
      <w:r w:rsidRPr="000874A6">
        <w:rPr>
          <w:rFonts w:ascii="Times New Roman" w:hAnsi="Times New Roman" w:cs="Times New Roman"/>
          <w:sz w:val="20"/>
          <w:szCs w:val="20"/>
        </w:rPr>
        <w:t xml:space="preserve"> Dr. </w:t>
      </w:r>
      <w:r w:rsidRPr="00710644">
        <w:rPr>
          <w:rFonts w:ascii="Times New Roman" w:hAnsi="Times New Roman" w:cs="Times New Roman"/>
          <w:sz w:val="20"/>
          <w:szCs w:val="20"/>
        </w:rPr>
        <w:t>Nosheen Nasir</w:t>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b/>
          <w:bCs/>
          <w:sz w:val="20"/>
          <w:szCs w:val="20"/>
        </w:rPr>
        <w:t>Email:</w:t>
      </w:r>
      <w:r w:rsidRPr="000874A6">
        <w:rPr>
          <w:rFonts w:ascii="Times New Roman" w:hAnsi="Times New Roman" w:cs="Times New Roman"/>
          <w:sz w:val="20"/>
          <w:szCs w:val="20"/>
        </w:rPr>
        <w:t xml:space="preserve"> </w:t>
      </w:r>
      <w:hyperlink r:id="rId9" w:history="1">
        <w:r w:rsidRPr="00710644">
          <w:rPr>
            <w:rStyle w:val="Hyperlink"/>
            <w:rFonts w:ascii="Times New Roman" w:hAnsi="Times New Roman" w:cs="Times New Roman"/>
            <w:sz w:val="20"/>
            <w:szCs w:val="20"/>
          </w:rPr>
          <w:t>nosheen.nasir@aku.edu</w:t>
        </w:r>
      </w:hyperlink>
    </w:p>
    <w:p w14:paraId="113AEE11" w14:textId="7EC04644" w:rsidR="00710644" w:rsidRPr="000874A6" w:rsidRDefault="00710644" w:rsidP="00710644">
      <w:pPr>
        <w:spacing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Received: </w:t>
      </w:r>
      <w:r w:rsidR="00C52895">
        <w:rPr>
          <w:rFonts w:ascii="Times New Roman" w:hAnsi="Times New Roman" w:cs="Times New Roman"/>
          <w:b/>
          <w:bCs/>
          <w:sz w:val="20"/>
          <w:szCs w:val="20"/>
        </w:rPr>
        <w:t>07-04-2026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Revised:</w:t>
      </w:r>
      <w:r w:rsidR="00E85FE7">
        <w:rPr>
          <w:rFonts w:ascii="Times New Roman" w:hAnsi="Times New Roman" w:cs="Times New Roman"/>
          <w:b/>
          <w:bCs/>
          <w:sz w:val="20"/>
          <w:szCs w:val="20"/>
        </w:rPr>
        <w:t xml:space="preserve"> 19-06-2026</w:t>
      </w:r>
      <w:r w:rsidRPr="000874A6">
        <w:rPr>
          <w:rFonts w:ascii="Times New Roman" w:hAnsi="Times New Roman" w:cs="Times New Roman"/>
          <w:b/>
          <w:bCs/>
          <w:sz w:val="20"/>
          <w:szCs w:val="20"/>
        </w:rPr>
        <w:tab/>
        <w:t xml:space="preserve">Accepted: </w:t>
      </w:r>
      <w:r w:rsidR="00E85FE7">
        <w:rPr>
          <w:rFonts w:ascii="Times New Roman" w:hAnsi="Times New Roman" w:cs="Times New Roman"/>
          <w:b/>
          <w:bCs/>
          <w:sz w:val="20"/>
          <w:szCs w:val="20"/>
        </w:rPr>
        <w:t>12-08-2026</w:t>
      </w:r>
    </w:p>
    <w:p w14:paraId="113AEE12" w14:textId="07E996C9" w:rsidR="001B7F87" w:rsidRPr="00710644" w:rsidRDefault="00710644" w:rsidP="00710644">
      <w:pPr>
        <w:spacing w:line="360" w:lineRule="auto"/>
        <w:rPr>
          <w:rFonts w:ascii="Times New Roman" w:hAnsi="Times New Roman" w:cs="Times New Roman"/>
          <w:b/>
          <w:bCs/>
          <w:sz w:val="20"/>
          <w:szCs w:val="20"/>
        </w:rPr>
      </w:pPr>
      <w:r w:rsidRPr="000874A6">
        <w:rPr>
          <w:rFonts w:ascii="Times New Roman" w:hAnsi="Times New Roman" w:cs="Times New Roman"/>
          <w:b/>
          <w:bCs/>
          <w:sz w:val="20"/>
          <w:szCs w:val="20"/>
        </w:rPr>
        <w:t>DOI:</w:t>
      </w:r>
      <w:r w:rsidRPr="000874A6">
        <w:rPr>
          <w:rFonts w:ascii="Times New Roman" w:hAnsi="Times New Roman" w:cs="Times New Roman"/>
          <w:sz w:val="20"/>
          <w:szCs w:val="20"/>
        </w:rPr>
        <w:t xml:space="preserve"> </w:t>
      </w:r>
      <w:hyperlink r:id="rId10" w:history="1">
        <w:r w:rsidRPr="000874A6">
          <w:rPr>
            <w:rStyle w:val="Hyperlink"/>
            <w:rFonts w:ascii="Times New Roman" w:hAnsi="Times New Roman" w:cs="Times New Roman"/>
            <w:sz w:val="20"/>
            <w:szCs w:val="20"/>
          </w:rPr>
          <w:t>https://doi.org/10.70302/jpsim.v7i3.26</w:t>
        </w:r>
        <w:r w:rsidR="00BE5F9A">
          <w:rPr>
            <w:rStyle w:val="Hyperlink"/>
            <w:rFonts w:ascii="Times New Roman" w:hAnsi="Times New Roman" w:cs="Times New Roman"/>
            <w:sz w:val="20"/>
            <w:szCs w:val="20"/>
          </w:rPr>
          <w:t>46</w:t>
        </w:r>
      </w:hyperlink>
    </w:p>
    <w:p w14:paraId="113AEE13" w14:textId="77777777" w:rsidR="001B7F87" w:rsidRPr="00710644" w:rsidRDefault="001B7F87" w:rsidP="00710644">
      <w:pPr>
        <w:spacing w:line="360" w:lineRule="auto"/>
        <w:rPr>
          <w:rFonts w:ascii="Times New Roman" w:hAnsi="Times New Roman" w:cs="Times New Roman"/>
          <w:b/>
          <w:bCs/>
          <w:sz w:val="20"/>
          <w:szCs w:val="20"/>
        </w:rPr>
      </w:pPr>
    </w:p>
    <w:p w14:paraId="113AEE14" w14:textId="77777777" w:rsidR="001B7F87" w:rsidRPr="00710644" w:rsidRDefault="00710644" w:rsidP="00710644">
      <w:pPr>
        <w:rPr>
          <w:rFonts w:ascii="Times New Roman" w:hAnsi="Times New Roman" w:cs="Times New Roman"/>
          <w:b/>
          <w:bCs/>
          <w:color w:val="000000"/>
        </w:rPr>
      </w:pPr>
      <w:r w:rsidRPr="00710644">
        <w:rPr>
          <w:rFonts w:ascii="Times New Roman" w:hAnsi="Times New Roman" w:cs="Times New Roman"/>
          <w:b/>
          <w:bCs/>
          <w:color w:val="000000"/>
        </w:rPr>
        <w:t>Introduction</w:t>
      </w:r>
    </w:p>
    <w:p w14:paraId="113AEE15"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In developed countries, nosocomial meningitis accounts for approximately 40% of cases of bacterial meningitis.</w:t>
      </w:r>
      <w:r w:rsidRPr="00710644">
        <w:rPr>
          <w:rFonts w:ascii="Times New Roman" w:hAnsi="Times New Roman" w:cs="Times New Roman"/>
          <w:vertAlign w:val="superscript"/>
        </w:rPr>
        <w:t xml:space="preserve">1 </w:t>
      </w:r>
      <w:r w:rsidRPr="00710644">
        <w:rPr>
          <w:rFonts w:ascii="Times New Roman" w:hAnsi="Times New Roman" w:cs="Times New Roman"/>
        </w:rPr>
        <w:t>Nosocomial meningitis is a serious complication of neurosurgical procedures and is associated with significant morbidity, prolonged hospitalization, and considerable mortality.</w:t>
      </w:r>
      <w:r w:rsidRPr="00710644">
        <w:rPr>
          <w:rFonts w:ascii="Times New Roman" w:hAnsi="Times New Roman" w:cs="Times New Roman"/>
          <w:vertAlign w:val="superscript"/>
        </w:rPr>
        <w:t>2</w:t>
      </w:r>
      <w:r w:rsidRPr="00710644">
        <w:rPr>
          <w:rFonts w:ascii="Times New Roman" w:hAnsi="Times New Roman" w:cs="Times New Roman"/>
        </w:rPr>
        <w:t xml:space="preserve"> Although diagnostic approaches have advanced, distinguishing postoperative aseptic inflammation from true bacterial meningitis remains challenging, especially when prior antimicrobial exposure lowers cerebrospinal fluid (CSF) culture yield.</w:t>
      </w:r>
      <w:r w:rsidRPr="00710644">
        <w:rPr>
          <w:rFonts w:ascii="Times New Roman" w:hAnsi="Times New Roman" w:cs="Times New Roman"/>
          <w:vertAlign w:val="superscript"/>
        </w:rPr>
        <w:t>3</w:t>
      </w:r>
    </w:p>
    <w:p w14:paraId="113AEE16"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In the postoperative period, blood and surgical implant may lead to aseptic meningitis. Cell counts and biochemical parameters (such as protein and glucose levels) measured in cerebrospinal fluid (CSF) have a limited ability to distinguish nosocomial meningitis from postoperative aseptic meningitis.</w:t>
      </w:r>
      <w:r w:rsidRPr="00710644">
        <w:rPr>
          <w:rFonts w:ascii="Times New Roman" w:hAnsi="Times New Roman" w:cs="Times New Roman"/>
          <w:vertAlign w:val="superscript"/>
        </w:rPr>
        <w:t>4</w:t>
      </w:r>
      <w:r w:rsidRPr="00710644">
        <w:rPr>
          <w:rFonts w:ascii="Times New Roman" w:hAnsi="Times New Roman" w:cs="Times New Roman"/>
        </w:rPr>
        <w:t xml:space="preserve"> While CSF </w:t>
      </w:r>
      <w:r w:rsidRPr="00710644">
        <w:rPr>
          <w:rFonts w:ascii="Times New Roman" w:hAnsi="Times New Roman" w:cs="Times New Roman"/>
        </w:rPr>
        <w:lastRenderedPageBreak/>
        <w:t>culture remains the diagnostic gold standard, its yield is often limited due to prior antibiotic exposure.</w:t>
      </w:r>
      <w:r w:rsidRPr="00710644">
        <w:rPr>
          <w:rFonts w:ascii="Times New Roman" w:hAnsi="Times New Roman" w:cs="Times New Roman"/>
          <w:vertAlign w:val="superscript"/>
        </w:rPr>
        <w:t>5</w:t>
      </w:r>
      <w:r w:rsidRPr="00710644">
        <w:rPr>
          <w:rFonts w:ascii="Times New Roman" w:hAnsi="Times New Roman" w:cs="Times New Roman"/>
        </w:rPr>
        <w:t xml:space="preserve"> Several neurosurgical factors including ventricular drains, CSF leaks, prolonged surgical duration, repeated procedures, and foreign-body insertion are recognized predictors of central nervous system (CNS) infections.</w:t>
      </w:r>
      <w:r w:rsidRPr="00710644">
        <w:rPr>
          <w:rFonts w:ascii="Times New Roman" w:hAnsi="Times New Roman" w:cs="Times New Roman"/>
          <w:vertAlign w:val="superscript"/>
        </w:rPr>
        <w:t>6-7</w:t>
      </w:r>
    </w:p>
    <w:p w14:paraId="113AEE17"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 xml:space="preserve">While the microbiological profile traditionally emphasized gram-positive organisms such as </w:t>
      </w:r>
      <w:r w:rsidRPr="00710644">
        <w:rPr>
          <w:rFonts w:ascii="Times New Roman" w:hAnsi="Times New Roman" w:cs="Times New Roman"/>
          <w:i/>
          <w:iCs/>
        </w:rPr>
        <w:t>Staphylococcus epidermidis</w:t>
      </w:r>
      <w:r w:rsidRPr="00710644">
        <w:rPr>
          <w:rFonts w:ascii="Times New Roman" w:hAnsi="Times New Roman" w:cs="Times New Roman"/>
        </w:rPr>
        <w:t xml:space="preserve"> and </w:t>
      </w:r>
      <w:r w:rsidRPr="00710644">
        <w:rPr>
          <w:rFonts w:ascii="Times New Roman" w:hAnsi="Times New Roman" w:cs="Times New Roman"/>
          <w:i/>
          <w:iCs/>
        </w:rPr>
        <w:t>Staphylococcus aureus</w:t>
      </w:r>
      <w:r w:rsidRPr="00710644">
        <w:rPr>
          <w:rFonts w:ascii="Times New Roman" w:hAnsi="Times New Roman" w:cs="Times New Roman"/>
        </w:rPr>
        <w:t>, an increasing burden of multidrug-resistant (MDR) gram-negative organisms has emerged, particularly in resource-limited settings.</w:t>
      </w:r>
      <w:r w:rsidRPr="00710644">
        <w:rPr>
          <w:rFonts w:ascii="Times New Roman" w:hAnsi="Times New Roman" w:cs="Times New Roman"/>
          <w:vertAlign w:val="superscript"/>
        </w:rPr>
        <w:t>8</w:t>
      </w:r>
      <w:r w:rsidRPr="00710644">
        <w:rPr>
          <w:rFonts w:ascii="Times New Roman" w:hAnsi="Times New Roman" w:cs="Times New Roman"/>
        </w:rPr>
        <w:t xml:space="preserve"> </w:t>
      </w:r>
      <w:r w:rsidRPr="00710644">
        <w:rPr>
          <w:rFonts w:ascii="Times New Roman" w:hAnsi="Times New Roman" w:cs="Times New Roman"/>
          <w:i/>
          <w:iCs/>
        </w:rPr>
        <w:t>Staphylococcal species</w:t>
      </w:r>
      <w:r w:rsidRPr="00710644">
        <w:rPr>
          <w:rFonts w:ascii="Times New Roman" w:hAnsi="Times New Roman" w:cs="Times New Roman"/>
        </w:rPr>
        <w:t xml:space="preserve"> account for the majority of isolates in patients with CSF shunt infections, with </w:t>
      </w:r>
      <w:r w:rsidRPr="00710644">
        <w:rPr>
          <w:rFonts w:ascii="Times New Roman" w:hAnsi="Times New Roman" w:cs="Times New Roman"/>
          <w:i/>
          <w:iCs/>
        </w:rPr>
        <w:t>Staphylococcus epidermidis</w:t>
      </w:r>
      <w:r w:rsidRPr="00710644">
        <w:rPr>
          <w:rFonts w:ascii="Times New Roman" w:hAnsi="Times New Roman" w:cs="Times New Roman"/>
        </w:rPr>
        <w:t xml:space="preserve"> most frequently isolated (47%–64% of infections), followed by </w:t>
      </w:r>
      <w:r w:rsidRPr="00710644">
        <w:rPr>
          <w:rFonts w:ascii="Times New Roman" w:hAnsi="Times New Roman" w:cs="Times New Roman"/>
          <w:i/>
          <w:iCs/>
        </w:rPr>
        <w:t>Staphylococcus aureus</w:t>
      </w:r>
      <w:r w:rsidRPr="00710644">
        <w:rPr>
          <w:rFonts w:ascii="Times New Roman" w:hAnsi="Times New Roman" w:cs="Times New Roman"/>
        </w:rPr>
        <w:t xml:space="preserve"> (12%–29% of infections).</w:t>
      </w:r>
      <w:r w:rsidRPr="00710644">
        <w:rPr>
          <w:rFonts w:ascii="Times New Roman" w:hAnsi="Times New Roman" w:cs="Times New Roman"/>
          <w:vertAlign w:val="superscript"/>
        </w:rPr>
        <w:t>8-9</w:t>
      </w:r>
      <w:r w:rsidRPr="00710644">
        <w:rPr>
          <w:rFonts w:ascii="Times New Roman" w:hAnsi="Times New Roman" w:cs="Times New Roman"/>
        </w:rPr>
        <w:t xml:space="preserve"> The most common isolated gram-negative microorganisms are </w:t>
      </w:r>
      <w:r w:rsidRPr="00710644">
        <w:rPr>
          <w:rFonts w:ascii="Times New Roman" w:hAnsi="Times New Roman" w:cs="Times New Roman"/>
          <w:i/>
          <w:iCs/>
        </w:rPr>
        <w:t>Escherichia coli</w:t>
      </w:r>
      <w:r w:rsidRPr="00710644">
        <w:rPr>
          <w:rFonts w:ascii="Times New Roman" w:hAnsi="Times New Roman" w:cs="Times New Roman"/>
        </w:rPr>
        <w:t xml:space="preserve">, </w:t>
      </w:r>
      <w:r w:rsidRPr="00710644">
        <w:rPr>
          <w:rFonts w:ascii="Times New Roman" w:hAnsi="Times New Roman" w:cs="Times New Roman"/>
          <w:i/>
          <w:iCs/>
        </w:rPr>
        <w:t>Klebsiella</w:t>
      </w:r>
      <w:r w:rsidRPr="00710644">
        <w:rPr>
          <w:rFonts w:ascii="Times New Roman" w:hAnsi="Times New Roman" w:cs="Times New Roman"/>
        </w:rPr>
        <w:t xml:space="preserve">, </w:t>
      </w:r>
      <w:r w:rsidRPr="00710644">
        <w:rPr>
          <w:rFonts w:ascii="Times New Roman" w:hAnsi="Times New Roman" w:cs="Times New Roman"/>
          <w:i/>
          <w:iCs/>
        </w:rPr>
        <w:t>Proteus</w:t>
      </w:r>
      <w:r w:rsidRPr="00710644">
        <w:rPr>
          <w:rFonts w:ascii="Times New Roman" w:hAnsi="Times New Roman" w:cs="Times New Roman"/>
        </w:rPr>
        <w:t xml:space="preserve">, and </w:t>
      </w:r>
      <w:r w:rsidRPr="00710644">
        <w:rPr>
          <w:rFonts w:ascii="Times New Roman" w:hAnsi="Times New Roman" w:cs="Times New Roman"/>
          <w:i/>
          <w:iCs/>
        </w:rPr>
        <w:t>Pseudomonas</w:t>
      </w:r>
      <w:r w:rsidRPr="00710644">
        <w:rPr>
          <w:rFonts w:ascii="Times New Roman" w:hAnsi="Times New Roman" w:cs="Times New Roman"/>
        </w:rPr>
        <w:t xml:space="preserve">; cases of </w:t>
      </w:r>
      <w:r w:rsidRPr="00710644">
        <w:rPr>
          <w:rFonts w:ascii="Times New Roman" w:hAnsi="Times New Roman" w:cs="Times New Roman"/>
          <w:i/>
          <w:iCs/>
        </w:rPr>
        <w:t>Acinetobacter</w:t>
      </w:r>
      <w:r w:rsidRPr="00710644">
        <w:rPr>
          <w:rFonts w:ascii="Times New Roman" w:hAnsi="Times New Roman" w:cs="Times New Roman"/>
        </w:rPr>
        <w:t xml:space="preserve"> meningitis have also been reported in patients with VP shunts.</w:t>
      </w:r>
      <w:r w:rsidRPr="00710644">
        <w:rPr>
          <w:rFonts w:ascii="Times New Roman" w:hAnsi="Times New Roman" w:cs="Times New Roman"/>
          <w:vertAlign w:val="superscript"/>
        </w:rPr>
        <w:t>10</w:t>
      </w:r>
    </w:p>
    <w:p w14:paraId="113AEE18"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Crucially, the clinical trajectory of meningitis may differ according to whether a causative organism is identified. Culture-positive cases allow pathogen-directed therapy, whereas culture-negative meningitis often requires broad-spectrum empiric coverage, which may delay appropriate treatment or foster antimicrobial resistance.</w:t>
      </w:r>
      <w:r w:rsidRPr="00710644">
        <w:rPr>
          <w:rFonts w:ascii="Times New Roman" w:hAnsi="Times New Roman" w:cs="Times New Roman"/>
          <w:vertAlign w:val="superscript"/>
        </w:rPr>
        <w:t>11</w:t>
      </w:r>
      <w:r w:rsidRPr="00710644">
        <w:rPr>
          <w:rFonts w:ascii="Times New Roman" w:hAnsi="Times New Roman" w:cs="Times New Roman"/>
        </w:rPr>
        <w:t xml:space="preserve"> </w:t>
      </w:r>
    </w:p>
    <w:p w14:paraId="113AEE19"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Despite the clinical importance of postoperative meningitis, limited data exist</w:t>
      </w:r>
      <w:r w:rsidRPr="00710644">
        <w:rPr>
          <w:rFonts w:ascii="Times New Roman" w:hAnsi="Times New Roman" w:cs="Times New Roman"/>
          <w:lang w:val="en-US"/>
        </w:rPr>
        <w:t xml:space="preserve">s </w:t>
      </w:r>
      <w:r w:rsidRPr="00710644">
        <w:rPr>
          <w:rFonts w:ascii="Times New Roman" w:hAnsi="Times New Roman" w:cs="Times New Roman"/>
        </w:rPr>
        <w:t>comparing culture-positive and culture-negative cases, particularly in low- and middle-income settings with high antimicrobial resistance. This study aims to compare risk factors, microbiological profiles, and clinical outcomes between these two groups in a tertiary care neurosurgical center.</w:t>
      </w:r>
    </w:p>
    <w:p w14:paraId="113AEE1A" w14:textId="77777777" w:rsidR="001B7F87" w:rsidRPr="00710644" w:rsidRDefault="001B7F87" w:rsidP="00710644">
      <w:pPr>
        <w:jc w:val="both"/>
        <w:rPr>
          <w:rFonts w:ascii="Times New Roman" w:hAnsi="Times New Roman" w:cs="Times New Roman"/>
          <w:b/>
          <w:bCs/>
          <w:color w:val="000000"/>
        </w:rPr>
      </w:pPr>
    </w:p>
    <w:p w14:paraId="113AEE1B" w14:textId="77777777" w:rsidR="001B7F87" w:rsidRPr="00710644" w:rsidRDefault="00890ACE" w:rsidP="00710644">
      <w:pPr>
        <w:jc w:val="both"/>
        <w:rPr>
          <w:rFonts w:ascii="Times New Roman" w:hAnsi="Times New Roman" w:cs="Times New Roman"/>
          <w:b/>
          <w:bCs/>
          <w:color w:val="000000"/>
        </w:rPr>
      </w:pPr>
      <w:r>
        <w:rPr>
          <w:rFonts w:ascii="Times New Roman" w:hAnsi="Times New Roman" w:cs="Times New Roman"/>
          <w:b/>
          <w:bCs/>
          <w:color w:val="000000"/>
        </w:rPr>
        <w:t>Methods</w:t>
      </w:r>
    </w:p>
    <w:p w14:paraId="113AEE1C"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This retrospective case–control study was conducted at a tertiary care hospital after obtaining approval from the Institutional Ethical Review Committee (ERC No. 2023-8786-25366; informed consent was waived due to the retrospective nature of the study).</w:t>
      </w:r>
    </w:p>
    <w:p w14:paraId="113AEE1D"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Adult patients (≥18 years) who developed meningitis following neurosurgical procedures between January 2013 and December 2022 were included. Nosocomial meningitis was defined as meningitis occurring ≥48 hours after a neurosurgical procedure, characterized by compatible clinical features (fever, neck stiffness, altered mental status, or meningeal signs) along with cerebrospinal fluid (CSF) abnormalities (pleocytosis, elevated protein, and/or decreased glucose), in accordance with established criteria for healthcare-associated meningitis.</w:t>
      </w:r>
    </w:p>
    <w:p w14:paraId="113AEE1E"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Patients were categorized into two groups: cases, defined as those with a positive CSF culture, and controls, defined as those with a negative CSF culture but with clinical and biochemical findings consistent with nosocomial meningitis. Patients with community-acquired meningitis or those without a history of recent neurosurgical intervention were excluded.</w:t>
      </w:r>
    </w:p>
    <w:p w14:paraId="113AEE1F"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Data were collected through review of electronic medical records and patient charts. Variables included demographic characteristics (age, sex), comorbidities, primary neurosurgical diagnosis, and potential risk factors such as external ventricular drain (EVD) placement,</w:t>
      </w:r>
      <w:r w:rsidRPr="00710644">
        <w:rPr>
          <w:rFonts w:ascii="Times New Roman" w:hAnsi="Times New Roman" w:cs="Times New Roman"/>
          <w:lang w:val="en-US"/>
        </w:rPr>
        <w:t xml:space="preserve"> </w:t>
      </w:r>
      <w:r w:rsidRPr="00710644">
        <w:rPr>
          <w:rFonts w:ascii="Times New Roman" w:hAnsi="Times New Roman" w:cs="Times New Roman"/>
        </w:rPr>
        <w:t>ventriculoperitoneal (VP) shunt insertion, lumbar drain use, cerebrospinal fluid leaks, head trauma, skull fractures, and duration of surgery. Clinical features at presentation, laboratory parameters, microbiological findings, treatment modalities (intravenous, intrathecal, and oral antibiotics), and outcomes (mortality, treatment success, and length of hospital stay) were also recorded.</w:t>
      </w:r>
    </w:p>
    <w:p w14:paraId="113AEE20"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 xml:space="preserve">Data were analyzed using STATA version 17. Continuous variables were assessed for normality using the Shapiro–Wilk test. Normally distributed variables were summarized as mean ± standard deviation, whereas </w:t>
      </w:r>
      <w:r w:rsidRPr="00710644">
        <w:rPr>
          <w:rFonts w:ascii="Times New Roman" w:hAnsi="Times New Roman" w:cs="Times New Roman"/>
        </w:rPr>
        <w:lastRenderedPageBreak/>
        <w:t>non-normally distributed variables were reported as median with interquartile range (IQR). Categorical variables were presented as frequencies and percentages.</w:t>
      </w:r>
    </w:p>
    <w:p w14:paraId="113AEE21" w14:textId="77777777" w:rsidR="001B7F87" w:rsidRPr="00710644" w:rsidRDefault="00710644" w:rsidP="00C06E4E">
      <w:pPr>
        <w:jc w:val="both"/>
        <w:rPr>
          <w:rFonts w:ascii="Times New Roman" w:hAnsi="Times New Roman" w:cs="Times New Roman"/>
        </w:rPr>
      </w:pPr>
      <w:r w:rsidRPr="00710644">
        <w:rPr>
          <w:rFonts w:ascii="Times New Roman" w:hAnsi="Times New Roman" w:cs="Times New Roman"/>
        </w:rPr>
        <w:t>For comparisons between cases and controls, the independent sample t-test or Mann–Whitney U test was used for continuous variables, and the chi-square test or Fisher’s exact test for categorical variables, as appropriate. Univariate logistic regression analysis was performed to identify factors associated with culture-positive meningitis. Variables with a p-value ≤0.10 or those considered clinically relevant were included in the multivariable logistic regression model. Adjusted odds ratios (ORs) with 95% confidence intervals (CIs) were reported. A two-tailed p-value &lt;0.05 was considered statistically significant.</w:t>
      </w:r>
    </w:p>
    <w:p w14:paraId="113AEE22" w14:textId="77777777" w:rsidR="00C06E4E" w:rsidRDefault="00C06E4E" w:rsidP="00710644">
      <w:pPr>
        <w:jc w:val="both"/>
        <w:rPr>
          <w:rFonts w:ascii="Times New Roman" w:hAnsi="Times New Roman" w:cs="Times New Roman"/>
          <w:b/>
          <w:bCs/>
          <w:color w:val="000000"/>
        </w:rPr>
      </w:pPr>
    </w:p>
    <w:p w14:paraId="113AEE23" w14:textId="77777777" w:rsidR="001B7F87" w:rsidRPr="00710644" w:rsidRDefault="00710644" w:rsidP="00710644">
      <w:pPr>
        <w:jc w:val="both"/>
        <w:rPr>
          <w:rFonts w:ascii="Times New Roman" w:hAnsi="Times New Roman" w:cs="Times New Roman"/>
          <w:b/>
          <w:bCs/>
          <w:color w:val="000000"/>
        </w:rPr>
      </w:pPr>
      <w:r w:rsidRPr="00710644">
        <w:rPr>
          <w:rFonts w:ascii="Times New Roman" w:hAnsi="Times New Roman" w:cs="Times New Roman"/>
          <w:b/>
          <w:bCs/>
          <w:color w:val="000000"/>
        </w:rPr>
        <w:t>Results:</w:t>
      </w:r>
    </w:p>
    <w:p w14:paraId="113AEE24"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A total of 280 patients were screened, of whom 85 met the inclusion criteria. Among these, 46 (54%) were classified as culture-positive cases and 39 (46%) as culture-negative controls. Both groups demonstrated a male predominance. The median age was comparable between the two groups (cases: 40.5 years [IQR: 34–56] vs. controls: 36 years [IQR: 29–49]).</w:t>
      </w:r>
    </w:p>
    <w:p w14:paraId="113AEE25" w14:textId="77777777" w:rsidR="001B7F87" w:rsidRDefault="001B7F87" w:rsidP="00710644">
      <w:pPr>
        <w:jc w:val="both"/>
        <w:rPr>
          <w:rFonts w:ascii="Times New Roman" w:hAnsi="Times New Roman" w:cs="Times New Roman"/>
        </w:rPr>
      </w:pPr>
    </w:p>
    <w:p w14:paraId="113AEE26" w14:textId="77777777" w:rsidR="00C06E4E" w:rsidRDefault="00C64DC6" w:rsidP="00710644">
      <w:pPr>
        <w:jc w:val="both"/>
        <w:rPr>
          <w:rFonts w:ascii="Times New Roman" w:hAnsi="Times New Roman" w:cs="Times New Roman"/>
        </w:rPr>
      </w:pPr>
      <w:r w:rsidRPr="00710644">
        <w:rPr>
          <w:rFonts w:ascii="Times New Roman" w:hAnsi="Times New Roman" w:cs="Times New Roman"/>
          <w:b/>
          <w:bCs/>
        </w:rPr>
        <w:t>Table 1: Comparison of demographics</w:t>
      </w:r>
      <w:r>
        <w:rPr>
          <w:rFonts w:ascii="Times New Roman" w:hAnsi="Times New Roman" w:cs="Times New Roman"/>
          <w:b/>
          <w:bCs/>
        </w:rPr>
        <w:t xml:space="preserve"> and history of </w:t>
      </w:r>
      <w:proofErr w:type="spellStart"/>
      <w:r>
        <w:rPr>
          <w:rFonts w:ascii="Times New Roman" w:hAnsi="Times New Roman" w:cs="Times New Roman"/>
          <w:b/>
          <w:bCs/>
        </w:rPr>
        <w:t>comobitidies</w:t>
      </w:r>
      <w:proofErr w:type="spellEnd"/>
    </w:p>
    <w:tbl>
      <w:tblPr>
        <w:tblStyle w:val="2"/>
        <w:tblW w:w="9359" w:type="dxa"/>
        <w:tblInd w:w="-100" w:type="dxa"/>
        <w:tblLayout w:type="fixed"/>
        <w:tblLook w:val="04A0" w:firstRow="1" w:lastRow="0" w:firstColumn="1" w:lastColumn="0" w:noHBand="0" w:noVBand="1"/>
      </w:tblPr>
      <w:tblGrid>
        <w:gridCol w:w="1628"/>
        <w:gridCol w:w="2607"/>
        <w:gridCol w:w="1322"/>
        <w:gridCol w:w="1454"/>
        <w:gridCol w:w="1457"/>
        <w:gridCol w:w="891"/>
      </w:tblGrid>
      <w:tr w:rsidR="00C06E4E" w:rsidRPr="00710644" w14:paraId="113AEE2C" w14:textId="77777777" w:rsidTr="002C02DC">
        <w:trPr>
          <w:trHeight w:val="255"/>
        </w:trPr>
        <w:tc>
          <w:tcPr>
            <w:tcW w:w="4235" w:type="dxa"/>
            <w:gridSpan w:val="2"/>
            <w:vMerge w:val="restar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27"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Variables</w:t>
            </w:r>
          </w:p>
        </w:tc>
        <w:tc>
          <w:tcPr>
            <w:tcW w:w="1322" w:type="dxa"/>
            <w:vMerge w:val="restar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28" w14:textId="77777777" w:rsidR="00C06E4E" w:rsidRPr="00710644" w:rsidRDefault="002C02DC" w:rsidP="00C64DC6">
            <w:pPr>
              <w:jc w:val="center"/>
              <w:rPr>
                <w:rFonts w:ascii="Times New Roman" w:hAnsi="Times New Roman" w:cs="Times New Roman"/>
                <w:b/>
                <w:bCs/>
              </w:rPr>
            </w:pPr>
            <w:r>
              <w:rPr>
                <w:rFonts w:ascii="Times New Roman" w:hAnsi="Times New Roman" w:cs="Times New Roman"/>
                <w:b/>
                <w:bCs/>
              </w:rPr>
              <w:t>Overall</w:t>
            </w:r>
          </w:p>
          <w:p w14:paraId="113AEE29" w14:textId="77777777" w:rsidR="00C06E4E" w:rsidRPr="00710644" w:rsidRDefault="002C02DC" w:rsidP="00C64DC6">
            <w:pPr>
              <w:jc w:val="center"/>
              <w:rPr>
                <w:rFonts w:ascii="Times New Roman" w:hAnsi="Times New Roman" w:cs="Times New Roman"/>
                <w:b/>
                <w:bCs/>
              </w:rPr>
            </w:pPr>
            <w:r>
              <w:rPr>
                <w:rFonts w:ascii="Times New Roman" w:hAnsi="Times New Roman" w:cs="Times New Roman"/>
                <w:b/>
                <w:bCs/>
              </w:rPr>
              <w:t>N =</w:t>
            </w:r>
            <w:r w:rsidR="00C06E4E" w:rsidRPr="00710644">
              <w:rPr>
                <w:rFonts w:ascii="Times New Roman" w:hAnsi="Times New Roman" w:cs="Times New Roman"/>
                <w:b/>
                <w:bCs/>
              </w:rPr>
              <w:t xml:space="preserve"> 85</w:t>
            </w:r>
          </w:p>
        </w:tc>
        <w:tc>
          <w:tcPr>
            <w:tcW w:w="2911" w:type="dxa"/>
            <w:gridSpan w:val="2"/>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2A"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Nosocomial culture</w:t>
            </w:r>
          </w:p>
        </w:tc>
        <w:tc>
          <w:tcPr>
            <w:tcW w:w="891" w:type="dxa"/>
            <w:vMerge w:val="restar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2B"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p-value</w:t>
            </w:r>
          </w:p>
        </w:tc>
      </w:tr>
      <w:tr w:rsidR="00C06E4E" w:rsidRPr="00710644" w14:paraId="113AEE36" w14:textId="77777777" w:rsidTr="002C02DC">
        <w:trPr>
          <w:trHeight w:val="735"/>
        </w:trPr>
        <w:tc>
          <w:tcPr>
            <w:tcW w:w="4235" w:type="dxa"/>
            <w:gridSpan w:val="2"/>
            <w:vMerge/>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tcPr>
          <w:p w14:paraId="113AEE2D" w14:textId="77777777" w:rsidR="00C06E4E" w:rsidRPr="00710644" w:rsidRDefault="00C06E4E" w:rsidP="00C64DC6">
            <w:pPr>
              <w:widowControl w:val="0"/>
              <w:jc w:val="center"/>
              <w:rPr>
                <w:rFonts w:ascii="Times New Roman" w:hAnsi="Times New Roman" w:cs="Times New Roman"/>
                <w:b/>
                <w:bCs/>
              </w:rPr>
            </w:pPr>
          </w:p>
        </w:tc>
        <w:tc>
          <w:tcPr>
            <w:tcW w:w="1322" w:type="dxa"/>
            <w:vMerge/>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113AEE2E" w14:textId="77777777" w:rsidR="00C06E4E" w:rsidRPr="00710644" w:rsidRDefault="00C06E4E" w:rsidP="00C64DC6">
            <w:pPr>
              <w:widowControl w:val="0"/>
              <w:jc w:val="center"/>
              <w:rPr>
                <w:rFonts w:ascii="Times New Roman" w:hAnsi="Times New Roman" w:cs="Times New Roman"/>
                <w:b/>
                <w:bCs/>
              </w:rPr>
            </w:pPr>
          </w:p>
        </w:tc>
        <w:tc>
          <w:tcPr>
            <w:tcW w:w="1454"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113AEE2F"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Negative</w:t>
            </w:r>
          </w:p>
          <w:p w14:paraId="113AEE30"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(Control)</w:t>
            </w:r>
          </w:p>
          <w:p w14:paraId="113AEE31" w14:textId="77777777" w:rsidR="00C06E4E" w:rsidRPr="00710644" w:rsidRDefault="002C02DC" w:rsidP="00C64DC6">
            <w:pPr>
              <w:jc w:val="center"/>
              <w:rPr>
                <w:rFonts w:ascii="Times New Roman" w:hAnsi="Times New Roman" w:cs="Times New Roman"/>
                <w:b/>
                <w:bCs/>
              </w:rPr>
            </w:pPr>
            <w:r>
              <w:rPr>
                <w:rFonts w:ascii="Times New Roman" w:hAnsi="Times New Roman" w:cs="Times New Roman"/>
                <w:b/>
                <w:bCs/>
              </w:rPr>
              <w:t>N =</w:t>
            </w:r>
            <w:r w:rsidR="00C06E4E" w:rsidRPr="00710644">
              <w:rPr>
                <w:rFonts w:ascii="Times New Roman" w:hAnsi="Times New Roman" w:cs="Times New Roman"/>
                <w:b/>
                <w:bCs/>
              </w:rPr>
              <w:t xml:space="preserve"> 39</w:t>
            </w:r>
          </w:p>
        </w:tc>
        <w:tc>
          <w:tcPr>
            <w:tcW w:w="1457"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113AEE32"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Positive</w:t>
            </w:r>
          </w:p>
          <w:p w14:paraId="113AEE33" w14:textId="77777777" w:rsidR="00C06E4E" w:rsidRPr="00710644" w:rsidRDefault="00C06E4E" w:rsidP="00C64DC6">
            <w:pPr>
              <w:jc w:val="center"/>
              <w:rPr>
                <w:rFonts w:ascii="Times New Roman" w:hAnsi="Times New Roman" w:cs="Times New Roman"/>
                <w:b/>
                <w:bCs/>
              </w:rPr>
            </w:pPr>
            <w:r w:rsidRPr="00710644">
              <w:rPr>
                <w:rFonts w:ascii="Times New Roman" w:hAnsi="Times New Roman" w:cs="Times New Roman"/>
                <w:b/>
                <w:bCs/>
              </w:rPr>
              <w:t>(Case)</w:t>
            </w:r>
          </w:p>
          <w:p w14:paraId="113AEE34" w14:textId="77777777" w:rsidR="00C06E4E" w:rsidRPr="00710644" w:rsidRDefault="002C02DC" w:rsidP="00C64DC6">
            <w:pPr>
              <w:jc w:val="center"/>
              <w:rPr>
                <w:rFonts w:ascii="Times New Roman" w:hAnsi="Times New Roman" w:cs="Times New Roman"/>
                <w:b/>
                <w:bCs/>
              </w:rPr>
            </w:pPr>
            <w:r>
              <w:rPr>
                <w:rFonts w:ascii="Times New Roman" w:hAnsi="Times New Roman" w:cs="Times New Roman"/>
                <w:b/>
                <w:bCs/>
              </w:rPr>
              <w:t>N =</w:t>
            </w:r>
            <w:r w:rsidR="00C06E4E" w:rsidRPr="00710644">
              <w:rPr>
                <w:rFonts w:ascii="Times New Roman" w:hAnsi="Times New Roman" w:cs="Times New Roman"/>
                <w:b/>
                <w:bCs/>
              </w:rPr>
              <w:t xml:space="preserve"> 46</w:t>
            </w:r>
          </w:p>
        </w:tc>
        <w:tc>
          <w:tcPr>
            <w:tcW w:w="891" w:type="dxa"/>
            <w:vMerge/>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13AEE35" w14:textId="77777777" w:rsidR="00C06E4E" w:rsidRPr="00710644" w:rsidRDefault="00C06E4E" w:rsidP="00F46D37">
            <w:pPr>
              <w:widowControl w:val="0"/>
              <w:rPr>
                <w:rFonts w:ascii="Times New Roman" w:hAnsi="Times New Roman" w:cs="Times New Roman"/>
                <w:b/>
                <w:bCs/>
              </w:rPr>
            </w:pPr>
          </w:p>
        </w:tc>
      </w:tr>
      <w:tr w:rsidR="00C64DC6" w:rsidRPr="00710644" w14:paraId="113AEE3D" w14:textId="77777777" w:rsidTr="002C02DC">
        <w:trPr>
          <w:trHeight w:val="435"/>
        </w:trPr>
        <w:tc>
          <w:tcPr>
            <w:tcW w:w="1628" w:type="dxa"/>
            <w:vMerge w:val="restart"/>
            <w:tcBorders>
              <w:top w:val="nil"/>
              <w:left w:val="single" w:sz="6" w:space="0" w:color="000000"/>
              <w:right w:val="single" w:sz="4" w:space="0" w:color="auto"/>
            </w:tcBorders>
            <w:tcMar>
              <w:top w:w="0" w:type="dxa"/>
              <w:left w:w="100" w:type="dxa"/>
              <w:bottom w:w="0" w:type="dxa"/>
              <w:right w:w="100" w:type="dxa"/>
            </w:tcMar>
            <w:vAlign w:val="center"/>
          </w:tcPr>
          <w:p w14:paraId="113AEE37" w14:textId="77777777" w:rsidR="00C64DC6" w:rsidRPr="00710644" w:rsidRDefault="00C64DC6" w:rsidP="00C06E4E">
            <w:pPr>
              <w:rPr>
                <w:rFonts w:ascii="Times New Roman" w:hAnsi="Times New Roman" w:cs="Times New Roman"/>
                <w:b/>
                <w:bCs/>
              </w:rPr>
            </w:pPr>
            <w:r w:rsidRPr="00710644">
              <w:rPr>
                <w:rFonts w:ascii="Times New Roman" w:hAnsi="Times New Roman" w:cs="Times New Roman"/>
                <w:b/>
                <w:bCs/>
              </w:rPr>
              <w:t>Age</w:t>
            </w:r>
          </w:p>
        </w:tc>
        <w:tc>
          <w:tcPr>
            <w:tcW w:w="2607" w:type="dxa"/>
            <w:tcBorders>
              <w:top w:val="single" w:sz="4" w:space="0" w:color="auto"/>
              <w:left w:val="single" w:sz="4" w:space="0" w:color="auto"/>
              <w:bottom w:val="single" w:sz="4" w:space="0" w:color="auto"/>
              <w:right w:val="single" w:sz="4" w:space="0" w:color="auto"/>
            </w:tcBorders>
            <w:vAlign w:val="center"/>
          </w:tcPr>
          <w:p w14:paraId="113AEE38" w14:textId="77777777" w:rsidR="00C64DC6" w:rsidRPr="00710644" w:rsidRDefault="00C64DC6" w:rsidP="00C06E4E">
            <w:pPr>
              <w:rPr>
                <w:rFonts w:ascii="Times New Roman" w:hAnsi="Times New Roman" w:cs="Times New Roman"/>
                <w:b/>
                <w:bCs/>
              </w:rPr>
            </w:pPr>
            <w:r w:rsidRPr="00710644">
              <w:rPr>
                <w:rFonts w:ascii="Times New Roman" w:hAnsi="Times New Roman" w:cs="Times New Roman"/>
                <w:b/>
                <w:bCs/>
              </w:rPr>
              <w:t>Mean (SD)</w:t>
            </w:r>
          </w:p>
        </w:tc>
        <w:tc>
          <w:tcPr>
            <w:tcW w:w="132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39"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42.3±14.5</w:t>
            </w:r>
          </w:p>
        </w:tc>
        <w:tc>
          <w:tcPr>
            <w:tcW w:w="145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3A"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39.6±15.1</w:t>
            </w:r>
          </w:p>
        </w:tc>
        <w:tc>
          <w:tcPr>
            <w:tcW w:w="145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AEE3B"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44.2±13.6</w:t>
            </w:r>
          </w:p>
        </w:tc>
        <w:tc>
          <w:tcPr>
            <w:tcW w:w="891" w:type="dxa"/>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14:paraId="113AEE3C"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0.14</w:t>
            </w:r>
          </w:p>
        </w:tc>
      </w:tr>
      <w:tr w:rsidR="00C64DC6" w:rsidRPr="00710644" w14:paraId="113AEE44" w14:textId="77777777" w:rsidTr="002C02DC">
        <w:trPr>
          <w:trHeight w:val="350"/>
        </w:trPr>
        <w:tc>
          <w:tcPr>
            <w:tcW w:w="1628" w:type="dxa"/>
            <w:vMerge/>
            <w:tcBorders>
              <w:left w:val="single" w:sz="6" w:space="0" w:color="000000"/>
              <w:bottom w:val="single" w:sz="6" w:space="0" w:color="000000"/>
              <w:right w:val="single" w:sz="6" w:space="0" w:color="000000"/>
            </w:tcBorders>
            <w:tcMar>
              <w:top w:w="0" w:type="dxa"/>
              <w:left w:w="100" w:type="dxa"/>
              <w:bottom w:w="0" w:type="dxa"/>
              <w:right w:w="100" w:type="dxa"/>
            </w:tcMar>
          </w:tcPr>
          <w:p w14:paraId="113AEE3E" w14:textId="77777777" w:rsidR="00C64DC6" w:rsidRPr="00710644" w:rsidRDefault="00C64DC6" w:rsidP="00F46D37">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vAlign w:val="center"/>
          </w:tcPr>
          <w:p w14:paraId="113AEE3F" w14:textId="77777777" w:rsidR="00C64DC6" w:rsidRPr="00710644" w:rsidRDefault="00C64DC6" w:rsidP="00C06E4E">
            <w:pPr>
              <w:rPr>
                <w:rFonts w:ascii="Times New Roman" w:hAnsi="Times New Roman" w:cs="Times New Roman"/>
                <w:b/>
                <w:bCs/>
              </w:rPr>
            </w:pPr>
            <w:r w:rsidRPr="00710644">
              <w:rPr>
                <w:rFonts w:ascii="Times New Roman" w:hAnsi="Times New Roman" w:cs="Times New Roman"/>
                <w:b/>
                <w:bCs/>
              </w:rPr>
              <w:t>Median (IQR)</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0"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40 (31 – 51)</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1"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36 (29 – 49)</w:t>
            </w:r>
          </w:p>
        </w:tc>
        <w:tc>
          <w:tcPr>
            <w:tcW w:w="1457" w:type="dxa"/>
            <w:tcBorders>
              <w:top w:val="nil"/>
              <w:left w:val="nil"/>
              <w:bottom w:val="single" w:sz="6" w:space="0" w:color="000000"/>
              <w:right w:val="single" w:sz="4" w:space="0" w:color="auto"/>
            </w:tcBorders>
            <w:tcMar>
              <w:top w:w="0" w:type="dxa"/>
              <w:left w:w="100" w:type="dxa"/>
              <w:bottom w:w="0" w:type="dxa"/>
              <w:right w:w="100" w:type="dxa"/>
            </w:tcMar>
            <w:vAlign w:val="center"/>
          </w:tcPr>
          <w:p w14:paraId="113AEE42"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40.5 (34 – 56)</w:t>
            </w:r>
          </w:p>
        </w:tc>
        <w:tc>
          <w:tcPr>
            <w:tcW w:w="891" w:type="dxa"/>
            <w:vMerge/>
            <w:tcBorders>
              <w:left w:val="single" w:sz="4" w:space="0" w:color="auto"/>
              <w:bottom w:val="single" w:sz="6" w:space="0" w:color="000000"/>
              <w:right w:val="single" w:sz="4" w:space="0" w:color="auto"/>
            </w:tcBorders>
            <w:tcMar>
              <w:top w:w="0" w:type="dxa"/>
              <w:left w:w="100" w:type="dxa"/>
              <w:bottom w:w="0" w:type="dxa"/>
              <w:right w:w="100" w:type="dxa"/>
            </w:tcMar>
            <w:vAlign w:val="center"/>
          </w:tcPr>
          <w:p w14:paraId="113AEE43" w14:textId="77777777" w:rsidR="00C64DC6" w:rsidRPr="00710644" w:rsidRDefault="00C64DC6" w:rsidP="002C02DC">
            <w:pPr>
              <w:jc w:val="right"/>
              <w:rPr>
                <w:rFonts w:ascii="Times New Roman" w:hAnsi="Times New Roman" w:cs="Times New Roman"/>
              </w:rPr>
            </w:pPr>
          </w:p>
        </w:tc>
      </w:tr>
      <w:tr w:rsidR="00C64DC6" w:rsidRPr="00710644" w14:paraId="113AEE4C" w14:textId="77777777" w:rsidTr="002C02DC">
        <w:trPr>
          <w:trHeight w:val="435"/>
        </w:trPr>
        <w:tc>
          <w:tcPr>
            <w:tcW w:w="1628" w:type="dxa"/>
            <w:vMerge w:val="restart"/>
            <w:tcBorders>
              <w:top w:val="nil"/>
              <w:left w:val="single" w:sz="6" w:space="0" w:color="000000"/>
              <w:right w:val="single" w:sz="6" w:space="0" w:color="000000"/>
            </w:tcBorders>
            <w:tcMar>
              <w:top w:w="0" w:type="dxa"/>
              <w:left w:w="100" w:type="dxa"/>
              <w:bottom w:w="0" w:type="dxa"/>
              <w:right w:w="100" w:type="dxa"/>
            </w:tcMar>
          </w:tcPr>
          <w:p w14:paraId="113AEE45" w14:textId="77777777" w:rsidR="00C64DC6" w:rsidRPr="00710644" w:rsidRDefault="00C64DC6" w:rsidP="00F46D37">
            <w:pPr>
              <w:rPr>
                <w:rFonts w:ascii="Times New Roman" w:hAnsi="Times New Roman" w:cs="Times New Roman"/>
                <w:b/>
                <w:bCs/>
              </w:rPr>
            </w:pPr>
            <w:r w:rsidRPr="00710644">
              <w:rPr>
                <w:rFonts w:ascii="Times New Roman" w:hAnsi="Times New Roman" w:cs="Times New Roman"/>
                <w:b/>
                <w:bCs/>
              </w:rPr>
              <w:t>Gender</w:t>
            </w:r>
          </w:p>
          <w:p w14:paraId="113AEE46" w14:textId="77777777" w:rsidR="00C64DC6" w:rsidRPr="00710644" w:rsidRDefault="00C64DC6" w:rsidP="00F46D37">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47" w14:textId="77777777" w:rsidR="00C64DC6" w:rsidRPr="00710644" w:rsidRDefault="00C64DC6" w:rsidP="00F46D37">
            <w:pPr>
              <w:rPr>
                <w:rFonts w:ascii="Times New Roman" w:hAnsi="Times New Roman" w:cs="Times New Roman"/>
                <w:b/>
                <w:bCs/>
              </w:rPr>
            </w:pPr>
            <w:r w:rsidRPr="00710644">
              <w:rPr>
                <w:rFonts w:ascii="Times New Roman" w:hAnsi="Times New Roman" w:cs="Times New Roman"/>
                <w:b/>
                <w:bCs/>
              </w:rPr>
              <w:t>Male</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8"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60 (70.6)</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9"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 xml:space="preserve"> 27 (69.2)</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A"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33 (71.7)</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B"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0.80</w:t>
            </w:r>
          </w:p>
        </w:tc>
      </w:tr>
      <w:tr w:rsidR="00C64DC6" w:rsidRPr="00710644" w14:paraId="113AEE53" w14:textId="77777777" w:rsidTr="002C02DC">
        <w:trPr>
          <w:trHeight w:val="435"/>
        </w:trPr>
        <w:tc>
          <w:tcPr>
            <w:tcW w:w="1628" w:type="dxa"/>
            <w:vMerge/>
            <w:tcBorders>
              <w:left w:val="single" w:sz="6" w:space="0" w:color="000000"/>
              <w:bottom w:val="single" w:sz="6" w:space="0" w:color="000000"/>
              <w:right w:val="single" w:sz="6" w:space="0" w:color="000000"/>
            </w:tcBorders>
            <w:tcMar>
              <w:top w:w="0" w:type="dxa"/>
              <w:left w:w="100" w:type="dxa"/>
              <w:bottom w:w="0" w:type="dxa"/>
              <w:right w:w="100" w:type="dxa"/>
            </w:tcMar>
          </w:tcPr>
          <w:p w14:paraId="113AEE4D" w14:textId="77777777" w:rsidR="00C64DC6" w:rsidRPr="00710644" w:rsidRDefault="00C64DC6" w:rsidP="00F46D37">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4E" w14:textId="77777777" w:rsidR="00C64DC6" w:rsidRPr="00710644" w:rsidRDefault="00C64DC6" w:rsidP="00F46D37">
            <w:pPr>
              <w:rPr>
                <w:rFonts w:ascii="Times New Roman" w:hAnsi="Times New Roman" w:cs="Times New Roman"/>
                <w:b/>
                <w:bCs/>
              </w:rPr>
            </w:pPr>
            <w:r w:rsidRPr="00710644">
              <w:rPr>
                <w:rFonts w:ascii="Times New Roman" w:hAnsi="Times New Roman" w:cs="Times New Roman"/>
                <w:b/>
                <w:bCs/>
              </w:rPr>
              <w:t>Female</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4F"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25 (29.4)</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0"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12 (30.8)</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1"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13 (28.3)</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2" w14:textId="77777777" w:rsidR="00C64DC6" w:rsidRPr="00710644" w:rsidRDefault="00C64DC6" w:rsidP="002C02DC">
            <w:pPr>
              <w:jc w:val="right"/>
              <w:rPr>
                <w:rFonts w:ascii="Times New Roman" w:hAnsi="Times New Roman" w:cs="Times New Roman"/>
              </w:rPr>
            </w:pPr>
          </w:p>
        </w:tc>
      </w:tr>
      <w:tr w:rsidR="002C02DC" w:rsidRPr="00710644" w14:paraId="113AEE5A" w14:textId="77777777" w:rsidTr="002C02DC">
        <w:trPr>
          <w:trHeight w:val="285"/>
        </w:trPr>
        <w:tc>
          <w:tcPr>
            <w:tcW w:w="1628" w:type="dxa"/>
            <w:vMerge w:val="restart"/>
            <w:tcBorders>
              <w:top w:val="nil"/>
              <w:left w:val="single" w:sz="6" w:space="0" w:color="000000"/>
              <w:right w:val="single" w:sz="6" w:space="0" w:color="000000"/>
            </w:tcBorders>
            <w:tcMar>
              <w:top w:w="0" w:type="dxa"/>
              <w:left w:w="100" w:type="dxa"/>
              <w:bottom w:w="0" w:type="dxa"/>
              <w:right w:w="100" w:type="dxa"/>
            </w:tcMar>
            <w:vAlign w:val="center"/>
          </w:tcPr>
          <w:p w14:paraId="113AEE54" w14:textId="77777777" w:rsidR="002C02DC" w:rsidRPr="00710644" w:rsidRDefault="002C02DC" w:rsidP="00C64DC6">
            <w:pPr>
              <w:rPr>
                <w:rFonts w:ascii="Times New Roman" w:hAnsi="Times New Roman" w:cs="Times New Roman"/>
                <w:b/>
                <w:bCs/>
              </w:rPr>
            </w:pPr>
            <w:r>
              <w:rPr>
                <w:rFonts w:ascii="Times New Roman" w:hAnsi="Times New Roman" w:cs="Times New Roman"/>
                <w:b/>
                <w:bCs/>
              </w:rPr>
              <w:t>Comorbidities</w:t>
            </w:r>
          </w:p>
        </w:tc>
        <w:tc>
          <w:tcPr>
            <w:tcW w:w="2607" w:type="dxa"/>
            <w:tcBorders>
              <w:top w:val="nil"/>
              <w:left w:val="single" w:sz="6" w:space="0" w:color="000000"/>
              <w:bottom w:val="single" w:sz="6" w:space="0" w:color="000000"/>
              <w:right w:val="single" w:sz="6" w:space="0" w:color="000000"/>
            </w:tcBorders>
          </w:tcPr>
          <w:p w14:paraId="113AEE55"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Diabetes</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6"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11 (12.9)</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7"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7 (18.0)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8"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4 (8.7)</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9"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0.33</w:t>
            </w:r>
          </w:p>
        </w:tc>
      </w:tr>
      <w:tr w:rsidR="002C02DC" w:rsidRPr="00710644" w14:paraId="113AEE61"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5B"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5C"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Hypertension</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D"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25 (29.4)</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E"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9 (23.1)</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5F"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16 (34.8)</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0"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0.24</w:t>
            </w:r>
          </w:p>
        </w:tc>
      </w:tr>
      <w:tr w:rsidR="002C02DC" w:rsidRPr="00710644" w14:paraId="113AEE68"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62"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63"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Chronic Kidney Disease</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4"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3 (3.5)</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5"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2 (5.1)</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6"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(2.2)</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7"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0.59</w:t>
            </w:r>
          </w:p>
        </w:tc>
      </w:tr>
      <w:tr w:rsidR="002C02DC" w:rsidRPr="00710644" w14:paraId="113AEE6F"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69"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6A"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No prior co-morbid</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B"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54 (63.5)</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C"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27 (69.2)</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D"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17 (58.7)</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6E"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0.32</w:t>
            </w:r>
          </w:p>
        </w:tc>
      </w:tr>
      <w:tr w:rsidR="002C02DC" w:rsidRPr="00710644" w14:paraId="113AEE76"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70"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71"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Intracranial bleed</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2"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(33.3)</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3"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 (0.0)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4"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(50.0)</w:t>
            </w:r>
          </w:p>
        </w:tc>
        <w:tc>
          <w:tcPr>
            <w:tcW w:w="891" w:type="dxa"/>
            <w:vMerge w:val="restart"/>
            <w:tcBorders>
              <w:top w:val="nil"/>
              <w:left w:val="nil"/>
              <w:right w:val="single" w:sz="6" w:space="0" w:color="000000"/>
            </w:tcBorders>
            <w:tcMar>
              <w:top w:w="0" w:type="dxa"/>
              <w:left w:w="100" w:type="dxa"/>
              <w:bottom w:w="0" w:type="dxa"/>
              <w:right w:w="100" w:type="dxa"/>
            </w:tcMar>
            <w:vAlign w:val="center"/>
          </w:tcPr>
          <w:p w14:paraId="113AEE75"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1.00</w:t>
            </w:r>
          </w:p>
        </w:tc>
      </w:tr>
      <w:tr w:rsidR="002C02DC" w:rsidRPr="00710644" w14:paraId="113AEE7D"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77"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78"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Hypothyroid</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9"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(33.3)</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A"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 (0.0)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7B"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(50.0)</w:t>
            </w:r>
          </w:p>
        </w:tc>
        <w:tc>
          <w:tcPr>
            <w:tcW w:w="891" w:type="dxa"/>
            <w:vMerge/>
            <w:tcBorders>
              <w:left w:val="nil"/>
              <w:right w:val="single" w:sz="6" w:space="0" w:color="000000"/>
            </w:tcBorders>
            <w:tcMar>
              <w:top w:w="0" w:type="dxa"/>
              <w:left w:w="100" w:type="dxa"/>
              <w:bottom w:w="0" w:type="dxa"/>
              <w:right w:w="100" w:type="dxa"/>
            </w:tcMar>
            <w:vAlign w:val="center"/>
          </w:tcPr>
          <w:p w14:paraId="113AEE7C" w14:textId="77777777" w:rsidR="002C02DC" w:rsidRPr="00710644" w:rsidRDefault="002C02DC" w:rsidP="002C02DC">
            <w:pPr>
              <w:jc w:val="right"/>
              <w:rPr>
                <w:rFonts w:ascii="Times New Roman" w:hAnsi="Times New Roman" w:cs="Times New Roman"/>
              </w:rPr>
            </w:pPr>
          </w:p>
        </w:tc>
      </w:tr>
      <w:tr w:rsidR="002C02DC" w:rsidRPr="00710644" w14:paraId="113AEE84"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7E"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7F"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Tuberose sclerosis</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0"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(33.3)</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1"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(100.0)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2"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 (0.0)</w:t>
            </w:r>
          </w:p>
        </w:tc>
        <w:tc>
          <w:tcPr>
            <w:tcW w:w="891" w:type="dxa"/>
            <w:vMerge/>
            <w:tcBorders>
              <w:left w:val="nil"/>
              <w:bottom w:val="single" w:sz="6" w:space="0" w:color="000000"/>
              <w:right w:val="single" w:sz="6" w:space="0" w:color="000000"/>
            </w:tcBorders>
            <w:tcMar>
              <w:top w:w="0" w:type="dxa"/>
              <w:left w:w="100" w:type="dxa"/>
              <w:bottom w:w="0" w:type="dxa"/>
              <w:right w:w="100" w:type="dxa"/>
            </w:tcMar>
            <w:vAlign w:val="center"/>
          </w:tcPr>
          <w:p w14:paraId="113AEE83" w14:textId="77777777" w:rsidR="002C02DC" w:rsidRPr="00710644" w:rsidRDefault="002C02DC" w:rsidP="002C02DC">
            <w:pPr>
              <w:jc w:val="right"/>
              <w:rPr>
                <w:rFonts w:ascii="Times New Roman" w:hAnsi="Times New Roman" w:cs="Times New Roman"/>
              </w:rPr>
            </w:pPr>
          </w:p>
        </w:tc>
      </w:tr>
      <w:tr w:rsidR="002C02DC" w:rsidRPr="00710644" w14:paraId="113AEE8B"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85"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86"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Neurosurgical Intervention</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7"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85 (100.0)</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8"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39 (100.0)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9"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46 (100.0)</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A"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w:t>
            </w:r>
          </w:p>
        </w:tc>
      </w:tr>
      <w:tr w:rsidR="002C02DC" w:rsidRPr="00710644" w14:paraId="113AEE92"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8C"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8D"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Longer duration procedure</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E"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13 (15.3)</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8F"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9 (23.1)</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0"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4 (8.7)</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1"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0.08</w:t>
            </w:r>
          </w:p>
        </w:tc>
      </w:tr>
      <w:tr w:rsidR="002C02DC" w:rsidRPr="00710644" w14:paraId="113AEE99" w14:textId="77777777" w:rsidTr="002C02DC">
        <w:trPr>
          <w:trHeight w:val="285"/>
        </w:trPr>
        <w:tc>
          <w:tcPr>
            <w:tcW w:w="1628" w:type="dxa"/>
            <w:vMerge/>
            <w:tcBorders>
              <w:left w:val="single" w:sz="6" w:space="0" w:color="000000"/>
              <w:right w:val="single" w:sz="6" w:space="0" w:color="000000"/>
            </w:tcBorders>
            <w:tcMar>
              <w:top w:w="0" w:type="dxa"/>
              <w:left w:w="100" w:type="dxa"/>
              <w:bottom w:w="0" w:type="dxa"/>
              <w:right w:w="100" w:type="dxa"/>
            </w:tcMar>
          </w:tcPr>
          <w:p w14:paraId="113AEE93"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94"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CSF rhinorrhea</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5"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(20.0)</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6"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 (0.0)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7"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(25.0)</w:t>
            </w:r>
          </w:p>
        </w:tc>
        <w:tc>
          <w:tcPr>
            <w:tcW w:w="891" w:type="dxa"/>
            <w:vMerge w:val="restart"/>
            <w:tcBorders>
              <w:top w:val="nil"/>
              <w:left w:val="nil"/>
              <w:right w:val="single" w:sz="6" w:space="0" w:color="000000"/>
            </w:tcBorders>
            <w:tcMar>
              <w:top w:w="0" w:type="dxa"/>
              <w:left w:w="100" w:type="dxa"/>
              <w:bottom w:w="0" w:type="dxa"/>
              <w:right w:w="100" w:type="dxa"/>
            </w:tcMar>
            <w:vAlign w:val="center"/>
          </w:tcPr>
          <w:p w14:paraId="113AEE98"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1.00</w:t>
            </w:r>
          </w:p>
        </w:tc>
      </w:tr>
      <w:tr w:rsidR="002C02DC" w:rsidRPr="00710644" w14:paraId="113AEEA0" w14:textId="77777777" w:rsidTr="002C02DC">
        <w:trPr>
          <w:trHeight w:val="285"/>
        </w:trPr>
        <w:tc>
          <w:tcPr>
            <w:tcW w:w="1628" w:type="dxa"/>
            <w:vMerge/>
            <w:tcBorders>
              <w:left w:val="single" w:sz="6" w:space="0" w:color="000000"/>
              <w:bottom w:val="single" w:sz="6" w:space="0" w:color="000000"/>
              <w:right w:val="single" w:sz="6" w:space="0" w:color="000000"/>
            </w:tcBorders>
            <w:tcMar>
              <w:top w:w="0" w:type="dxa"/>
              <w:left w:w="100" w:type="dxa"/>
              <w:bottom w:w="0" w:type="dxa"/>
              <w:right w:w="100" w:type="dxa"/>
            </w:tcMar>
          </w:tcPr>
          <w:p w14:paraId="113AEE9A" w14:textId="77777777" w:rsidR="002C02DC" w:rsidRPr="00710644" w:rsidRDefault="002C02DC" w:rsidP="00C64DC6">
            <w:pPr>
              <w:rPr>
                <w:rFonts w:ascii="Times New Roman" w:hAnsi="Times New Roman" w:cs="Times New Roman"/>
                <w:b/>
                <w:bCs/>
              </w:rPr>
            </w:pPr>
          </w:p>
        </w:tc>
        <w:tc>
          <w:tcPr>
            <w:tcW w:w="2607" w:type="dxa"/>
            <w:tcBorders>
              <w:top w:val="nil"/>
              <w:left w:val="single" w:sz="6" w:space="0" w:color="000000"/>
              <w:bottom w:val="single" w:sz="6" w:space="0" w:color="000000"/>
              <w:right w:val="single" w:sz="6" w:space="0" w:color="000000"/>
            </w:tcBorders>
          </w:tcPr>
          <w:p w14:paraId="113AEE9B" w14:textId="77777777" w:rsidR="002C02DC" w:rsidRPr="00710644" w:rsidRDefault="002C02DC" w:rsidP="00C64DC6">
            <w:pPr>
              <w:rPr>
                <w:rFonts w:ascii="Times New Roman" w:hAnsi="Times New Roman" w:cs="Times New Roman"/>
                <w:b/>
                <w:bCs/>
              </w:rPr>
            </w:pPr>
            <w:r w:rsidRPr="00710644">
              <w:rPr>
                <w:rFonts w:ascii="Times New Roman" w:hAnsi="Times New Roman" w:cs="Times New Roman"/>
                <w:b/>
                <w:bCs/>
              </w:rPr>
              <w:t>Post procedure CSF</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C"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(20.0)</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D"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0 (0.0)</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9E" w14:textId="77777777" w:rsidR="002C02DC" w:rsidRPr="00710644" w:rsidRDefault="002C02DC" w:rsidP="002C02DC">
            <w:pPr>
              <w:jc w:val="right"/>
              <w:rPr>
                <w:rFonts w:ascii="Times New Roman" w:hAnsi="Times New Roman" w:cs="Times New Roman"/>
              </w:rPr>
            </w:pPr>
            <w:r w:rsidRPr="00710644">
              <w:rPr>
                <w:rFonts w:ascii="Times New Roman" w:hAnsi="Times New Roman" w:cs="Times New Roman"/>
              </w:rPr>
              <w:t>1 (25.0)</w:t>
            </w:r>
          </w:p>
        </w:tc>
        <w:tc>
          <w:tcPr>
            <w:tcW w:w="891" w:type="dxa"/>
            <w:vMerge/>
            <w:tcBorders>
              <w:left w:val="nil"/>
              <w:bottom w:val="single" w:sz="6" w:space="0" w:color="000000"/>
              <w:right w:val="single" w:sz="6" w:space="0" w:color="000000"/>
            </w:tcBorders>
            <w:tcMar>
              <w:top w:w="0" w:type="dxa"/>
              <w:left w:w="100" w:type="dxa"/>
              <w:bottom w:w="0" w:type="dxa"/>
              <w:right w:w="100" w:type="dxa"/>
            </w:tcMar>
          </w:tcPr>
          <w:p w14:paraId="113AEE9F" w14:textId="77777777" w:rsidR="002C02DC" w:rsidRPr="00710644" w:rsidRDefault="002C02DC" w:rsidP="00C64DC6">
            <w:pPr>
              <w:jc w:val="center"/>
              <w:rPr>
                <w:rFonts w:ascii="Times New Roman" w:hAnsi="Times New Roman" w:cs="Times New Roman"/>
              </w:rPr>
            </w:pPr>
          </w:p>
        </w:tc>
      </w:tr>
      <w:tr w:rsidR="00C64DC6" w:rsidRPr="00710644" w14:paraId="113AEEA6" w14:textId="77777777" w:rsidTr="002C02DC">
        <w:trPr>
          <w:trHeight w:val="285"/>
        </w:trPr>
        <w:tc>
          <w:tcPr>
            <w:tcW w:w="423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3AEEA1" w14:textId="77777777" w:rsidR="00C64DC6" w:rsidRPr="00710644" w:rsidRDefault="00C64DC6" w:rsidP="00C64DC6">
            <w:pPr>
              <w:rPr>
                <w:rFonts w:ascii="Times New Roman" w:hAnsi="Times New Roman" w:cs="Times New Roman"/>
                <w:b/>
                <w:bCs/>
              </w:rPr>
            </w:pPr>
            <w:r w:rsidRPr="00710644">
              <w:rPr>
                <w:rFonts w:ascii="Times New Roman" w:hAnsi="Times New Roman" w:cs="Times New Roman"/>
                <w:b/>
                <w:bCs/>
              </w:rPr>
              <w:t>Interval between surgery and onset of symptoms (days)</w:t>
            </w:r>
          </w:p>
        </w:tc>
        <w:tc>
          <w:tcPr>
            <w:tcW w:w="132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A2"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9 (6 – 15)</w:t>
            </w:r>
          </w:p>
        </w:tc>
        <w:tc>
          <w:tcPr>
            <w:tcW w:w="14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A3"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7 (5 – 14)</w:t>
            </w:r>
          </w:p>
        </w:tc>
        <w:tc>
          <w:tcPr>
            <w:tcW w:w="145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A4"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9.5 (6 – 20)</w:t>
            </w:r>
          </w:p>
        </w:tc>
        <w:tc>
          <w:tcPr>
            <w:tcW w:w="8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AEEA5" w14:textId="77777777" w:rsidR="00C64DC6" w:rsidRPr="00710644" w:rsidRDefault="00C64DC6" w:rsidP="002C02DC">
            <w:pPr>
              <w:jc w:val="right"/>
              <w:rPr>
                <w:rFonts w:ascii="Times New Roman" w:hAnsi="Times New Roman" w:cs="Times New Roman"/>
              </w:rPr>
            </w:pPr>
            <w:r w:rsidRPr="00710644">
              <w:rPr>
                <w:rFonts w:ascii="Times New Roman" w:hAnsi="Times New Roman" w:cs="Times New Roman"/>
              </w:rPr>
              <w:t>0.69</w:t>
            </w:r>
          </w:p>
        </w:tc>
      </w:tr>
    </w:tbl>
    <w:p w14:paraId="113AEEA7" w14:textId="77777777" w:rsidR="00C06E4E" w:rsidRPr="00710644" w:rsidRDefault="00C06E4E" w:rsidP="00710644">
      <w:pPr>
        <w:jc w:val="both"/>
        <w:rPr>
          <w:rFonts w:ascii="Times New Roman" w:hAnsi="Times New Roman" w:cs="Times New Roman"/>
        </w:rPr>
      </w:pPr>
    </w:p>
    <w:p w14:paraId="113AEEA8" w14:textId="77777777" w:rsidR="001B7F87" w:rsidRDefault="00D21CDF" w:rsidP="00710644">
      <w:pPr>
        <w:jc w:val="both"/>
        <w:rPr>
          <w:rFonts w:ascii="Times New Roman" w:hAnsi="Times New Roman" w:cs="Times New Roman"/>
        </w:rPr>
      </w:pPr>
      <w:r w:rsidRPr="00710644">
        <w:rPr>
          <w:rFonts w:ascii="Times New Roman" w:hAnsi="Times New Roman" w:cs="Times New Roman"/>
        </w:rPr>
        <w:t xml:space="preserve">Hypertension and diabetes were the most common comorbidities. Hypertension was present in 16 (34.8%) cases and 9 (23.1%) controls, while diabetes was observed in 4 (8.7%) cases and 7 (18.0%) controls. These </w:t>
      </w:r>
      <w:r w:rsidRPr="00710644">
        <w:rPr>
          <w:rFonts w:ascii="Times New Roman" w:hAnsi="Times New Roman" w:cs="Times New Roman"/>
        </w:rPr>
        <w:lastRenderedPageBreak/>
        <w:t>differences were not statistically significant.</w:t>
      </w:r>
      <w:r>
        <w:rPr>
          <w:rFonts w:ascii="Times New Roman" w:hAnsi="Times New Roman" w:cs="Times New Roman"/>
        </w:rPr>
        <w:t xml:space="preserve"> </w:t>
      </w:r>
      <w:r w:rsidR="00710644" w:rsidRPr="00710644">
        <w:rPr>
          <w:rFonts w:ascii="Times New Roman" w:hAnsi="Times New Roman" w:cs="Times New Roman"/>
        </w:rPr>
        <w:t xml:space="preserve">The most frequently performed neurosurgical procedure was excision of space-occupying lesions (SOL), which was more common in the control group than in cases (43.6% vs. 17.4%; p = 0.01). Other potential risk factors included external ventricular drain (EVD) placement (51.3% in controls vs. 32.6% in cases) and </w:t>
      </w:r>
      <w:r w:rsidR="00710644" w:rsidRPr="00710644">
        <w:rPr>
          <w:rFonts w:ascii="Times New Roman" w:hAnsi="Times New Roman" w:cs="Times New Roman"/>
          <w:lang w:val="en-US"/>
        </w:rPr>
        <w:t xml:space="preserve">a </w:t>
      </w:r>
      <w:r w:rsidR="00710644" w:rsidRPr="00710644">
        <w:rPr>
          <w:rFonts w:ascii="Times New Roman" w:hAnsi="Times New Roman" w:cs="Times New Roman"/>
        </w:rPr>
        <w:t>longer duration of surgery (23.1% vs. 8.7%), both showing borderline statistical significance (p = 0.08). Figure 1A, B</w:t>
      </w:r>
    </w:p>
    <w:p w14:paraId="113AEEA9" w14:textId="77777777" w:rsidR="00D21CDF" w:rsidRDefault="00C4201B" w:rsidP="00710644">
      <w:pPr>
        <w:jc w:val="both"/>
        <w:rPr>
          <w:rFonts w:ascii="Times New Roman" w:hAnsi="Times New Roman" w:cs="Times New Roman"/>
        </w:rPr>
      </w:pPr>
      <w:r w:rsidRPr="00710644">
        <w:rPr>
          <w:rFonts w:ascii="Times New Roman" w:hAnsi="Times New Roman" w:cs="Times New Roman"/>
          <w:b/>
          <w:bCs/>
        </w:rPr>
        <w:t xml:space="preserve">Table </w:t>
      </w:r>
      <w:r>
        <w:rPr>
          <w:rFonts w:ascii="Times New Roman" w:hAnsi="Times New Roman" w:cs="Times New Roman"/>
          <w:b/>
          <w:bCs/>
        </w:rPr>
        <w:t>2</w:t>
      </w:r>
      <w:r w:rsidRPr="00710644">
        <w:rPr>
          <w:rFonts w:ascii="Times New Roman" w:hAnsi="Times New Roman" w:cs="Times New Roman"/>
          <w:b/>
          <w:bCs/>
        </w:rPr>
        <w:t xml:space="preserve">: Comparison of </w:t>
      </w:r>
      <w:r>
        <w:rPr>
          <w:rFonts w:ascii="Times New Roman" w:hAnsi="Times New Roman" w:cs="Times New Roman"/>
          <w:b/>
          <w:bCs/>
        </w:rPr>
        <w:t>Sign &amp; Symptoms and laboratory parameters.</w:t>
      </w:r>
    </w:p>
    <w:tbl>
      <w:tblPr>
        <w:tblStyle w:val="2"/>
        <w:tblW w:w="100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1"/>
        <w:gridCol w:w="2520"/>
        <w:gridCol w:w="1710"/>
        <w:gridCol w:w="1676"/>
        <w:gridCol w:w="1654"/>
        <w:gridCol w:w="872"/>
      </w:tblGrid>
      <w:tr w:rsidR="004D21C4" w:rsidRPr="00710644" w14:paraId="113AEEAF" w14:textId="77777777" w:rsidTr="004D21C4">
        <w:trPr>
          <w:trHeight w:val="253"/>
        </w:trPr>
        <w:tc>
          <w:tcPr>
            <w:tcW w:w="4151" w:type="dxa"/>
            <w:gridSpan w:val="2"/>
            <w:vMerge w:val="restart"/>
            <w:tcMar>
              <w:top w:w="0" w:type="dxa"/>
              <w:left w:w="100" w:type="dxa"/>
              <w:bottom w:w="0" w:type="dxa"/>
              <w:right w:w="100" w:type="dxa"/>
            </w:tcMar>
            <w:vAlign w:val="center"/>
          </w:tcPr>
          <w:p w14:paraId="113AEEAA"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Variables</w:t>
            </w:r>
          </w:p>
        </w:tc>
        <w:tc>
          <w:tcPr>
            <w:tcW w:w="1710" w:type="dxa"/>
            <w:vMerge w:val="restart"/>
            <w:tcMar>
              <w:top w:w="0" w:type="dxa"/>
              <w:left w:w="100" w:type="dxa"/>
              <w:bottom w:w="0" w:type="dxa"/>
              <w:right w:w="100" w:type="dxa"/>
            </w:tcMar>
            <w:vAlign w:val="center"/>
          </w:tcPr>
          <w:p w14:paraId="113AEEAB"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Overall</w:t>
            </w:r>
          </w:p>
          <w:p w14:paraId="113AEEAC"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85</w:t>
            </w:r>
          </w:p>
        </w:tc>
        <w:tc>
          <w:tcPr>
            <w:tcW w:w="3330" w:type="dxa"/>
            <w:gridSpan w:val="2"/>
            <w:tcMar>
              <w:top w:w="0" w:type="dxa"/>
              <w:left w:w="100" w:type="dxa"/>
              <w:bottom w:w="0" w:type="dxa"/>
              <w:right w:w="100" w:type="dxa"/>
            </w:tcMar>
            <w:vAlign w:val="center"/>
          </w:tcPr>
          <w:p w14:paraId="113AEEAD"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Nosocomial culture</w:t>
            </w:r>
          </w:p>
        </w:tc>
        <w:tc>
          <w:tcPr>
            <w:tcW w:w="872" w:type="dxa"/>
            <w:vMerge w:val="restart"/>
            <w:tcMar>
              <w:top w:w="0" w:type="dxa"/>
              <w:left w:w="100" w:type="dxa"/>
              <w:bottom w:w="0" w:type="dxa"/>
              <w:right w:w="100" w:type="dxa"/>
            </w:tcMar>
            <w:vAlign w:val="center"/>
          </w:tcPr>
          <w:p w14:paraId="113AEEAE"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p-value</w:t>
            </w:r>
          </w:p>
        </w:tc>
      </w:tr>
      <w:tr w:rsidR="004D21C4" w:rsidRPr="00710644" w14:paraId="113AEEB9" w14:textId="77777777" w:rsidTr="004D21C4">
        <w:trPr>
          <w:trHeight w:val="731"/>
        </w:trPr>
        <w:tc>
          <w:tcPr>
            <w:tcW w:w="4151" w:type="dxa"/>
            <w:gridSpan w:val="2"/>
            <w:vMerge/>
            <w:tcMar>
              <w:top w:w="0" w:type="dxa"/>
              <w:left w:w="100" w:type="dxa"/>
              <w:bottom w:w="0" w:type="dxa"/>
              <w:right w:w="100" w:type="dxa"/>
            </w:tcMar>
            <w:vAlign w:val="center"/>
          </w:tcPr>
          <w:p w14:paraId="113AEEB0" w14:textId="77777777" w:rsidR="004D21C4" w:rsidRPr="00710644" w:rsidRDefault="004D21C4" w:rsidP="004D21C4">
            <w:pPr>
              <w:widowControl w:val="0"/>
              <w:rPr>
                <w:rFonts w:ascii="Times New Roman" w:hAnsi="Times New Roman" w:cs="Times New Roman"/>
                <w:b/>
                <w:bCs/>
              </w:rPr>
            </w:pPr>
          </w:p>
        </w:tc>
        <w:tc>
          <w:tcPr>
            <w:tcW w:w="1710" w:type="dxa"/>
            <w:vMerge/>
            <w:tcMar>
              <w:top w:w="0" w:type="dxa"/>
              <w:left w:w="100" w:type="dxa"/>
              <w:bottom w:w="0" w:type="dxa"/>
              <w:right w:w="100" w:type="dxa"/>
            </w:tcMar>
            <w:vAlign w:val="center"/>
          </w:tcPr>
          <w:p w14:paraId="113AEEB1" w14:textId="77777777" w:rsidR="004D21C4" w:rsidRPr="00710644" w:rsidRDefault="004D21C4" w:rsidP="004D21C4">
            <w:pPr>
              <w:widowControl w:val="0"/>
              <w:rPr>
                <w:rFonts w:ascii="Times New Roman" w:hAnsi="Times New Roman" w:cs="Times New Roman"/>
                <w:b/>
                <w:bCs/>
              </w:rPr>
            </w:pPr>
          </w:p>
        </w:tc>
        <w:tc>
          <w:tcPr>
            <w:tcW w:w="1676" w:type="dxa"/>
            <w:tcMar>
              <w:top w:w="0" w:type="dxa"/>
              <w:left w:w="100" w:type="dxa"/>
              <w:bottom w:w="0" w:type="dxa"/>
              <w:right w:w="100" w:type="dxa"/>
            </w:tcMar>
            <w:vAlign w:val="center"/>
          </w:tcPr>
          <w:p w14:paraId="113AEEB2"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Negative</w:t>
            </w:r>
          </w:p>
          <w:p w14:paraId="113AEEB3"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(Control)</w:t>
            </w:r>
          </w:p>
          <w:p w14:paraId="113AEEB4"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39</w:t>
            </w:r>
          </w:p>
        </w:tc>
        <w:tc>
          <w:tcPr>
            <w:tcW w:w="1654" w:type="dxa"/>
            <w:tcMar>
              <w:top w:w="0" w:type="dxa"/>
              <w:left w:w="100" w:type="dxa"/>
              <w:bottom w:w="0" w:type="dxa"/>
              <w:right w:w="100" w:type="dxa"/>
            </w:tcMar>
            <w:vAlign w:val="center"/>
          </w:tcPr>
          <w:p w14:paraId="113AEEB5"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Positive</w:t>
            </w:r>
          </w:p>
          <w:p w14:paraId="113AEEB6"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(Case)</w:t>
            </w:r>
          </w:p>
          <w:p w14:paraId="113AEEB7"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46</w:t>
            </w:r>
          </w:p>
        </w:tc>
        <w:tc>
          <w:tcPr>
            <w:tcW w:w="872" w:type="dxa"/>
            <w:vMerge/>
            <w:tcMar>
              <w:top w:w="0" w:type="dxa"/>
              <w:left w:w="100" w:type="dxa"/>
              <w:bottom w:w="0" w:type="dxa"/>
              <w:right w:w="100" w:type="dxa"/>
            </w:tcMar>
          </w:tcPr>
          <w:p w14:paraId="113AEEB8" w14:textId="77777777" w:rsidR="004D21C4" w:rsidRPr="00710644" w:rsidRDefault="004D21C4" w:rsidP="004D21C4">
            <w:pPr>
              <w:widowControl w:val="0"/>
              <w:rPr>
                <w:rFonts w:ascii="Times New Roman" w:hAnsi="Times New Roman" w:cs="Times New Roman"/>
                <w:b/>
                <w:bCs/>
              </w:rPr>
            </w:pPr>
          </w:p>
        </w:tc>
      </w:tr>
      <w:tr w:rsidR="004D21C4" w:rsidRPr="00710644" w14:paraId="113AEEC0" w14:textId="77777777" w:rsidTr="004D21C4">
        <w:trPr>
          <w:trHeight w:val="283"/>
        </w:trPr>
        <w:tc>
          <w:tcPr>
            <w:tcW w:w="1631" w:type="dxa"/>
            <w:vMerge w:val="restart"/>
            <w:tcMar>
              <w:top w:w="0" w:type="dxa"/>
              <w:left w:w="100" w:type="dxa"/>
              <w:bottom w:w="0" w:type="dxa"/>
              <w:right w:w="100" w:type="dxa"/>
            </w:tcMar>
            <w:vAlign w:val="center"/>
          </w:tcPr>
          <w:p w14:paraId="113AEEBA"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 xml:space="preserve">Signs </w:t>
            </w:r>
            <w:r>
              <w:rPr>
                <w:rFonts w:ascii="Times New Roman" w:hAnsi="Times New Roman" w:cs="Times New Roman"/>
                <w:b/>
                <w:bCs/>
              </w:rPr>
              <w:t>a</w:t>
            </w:r>
            <w:r w:rsidRPr="00710644">
              <w:rPr>
                <w:rFonts w:ascii="Times New Roman" w:hAnsi="Times New Roman" w:cs="Times New Roman"/>
                <w:b/>
                <w:bCs/>
              </w:rPr>
              <w:t>nd Symptoms</w:t>
            </w:r>
          </w:p>
        </w:tc>
        <w:tc>
          <w:tcPr>
            <w:tcW w:w="2520" w:type="dxa"/>
          </w:tcPr>
          <w:p w14:paraId="113AEEBB"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Fever</w:t>
            </w:r>
          </w:p>
        </w:tc>
        <w:tc>
          <w:tcPr>
            <w:tcW w:w="1710" w:type="dxa"/>
            <w:tcMar>
              <w:top w:w="0" w:type="dxa"/>
              <w:left w:w="100" w:type="dxa"/>
              <w:bottom w:w="0" w:type="dxa"/>
              <w:right w:w="100" w:type="dxa"/>
            </w:tcMar>
            <w:vAlign w:val="center"/>
          </w:tcPr>
          <w:p w14:paraId="113AEEB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61 (71.8)</w:t>
            </w:r>
          </w:p>
        </w:tc>
        <w:tc>
          <w:tcPr>
            <w:tcW w:w="1676" w:type="dxa"/>
            <w:tcMar>
              <w:top w:w="0" w:type="dxa"/>
              <w:left w:w="100" w:type="dxa"/>
              <w:bottom w:w="0" w:type="dxa"/>
              <w:right w:w="100" w:type="dxa"/>
            </w:tcMar>
            <w:vAlign w:val="center"/>
          </w:tcPr>
          <w:p w14:paraId="113AEEB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26 (66.7)</w:t>
            </w:r>
          </w:p>
        </w:tc>
        <w:tc>
          <w:tcPr>
            <w:tcW w:w="1654" w:type="dxa"/>
            <w:tcMar>
              <w:top w:w="0" w:type="dxa"/>
              <w:left w:w="100" w:type="dxa"/>
              <w:bottom w:w="0" w:type="dxa"/>
              <w:right w:w="100" w:type="dxa"/>
            </w:tcMar>
            <w:vAlign w:val="center"/>
          </w:tcPr>
          <w:p w14:paraId="113AEEBE"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35 (76.1)</w:t>
            </w:r>
          </w:p>
        </w:tc>
        <w:tc>
          <w:tcPr>
            <w:tcW w:w="872" w:type="dxa"/>
            <w:tcMar>
              <w:top w:w="0" w:type="dxa"/>
              <w:left w:w="100" w:type="dxa"/>
              <w:bottom w:w="0" w:type="dxa"/>
              <w:right w:w="100" w:type="dxa"/>
            </w:tcMar>
            <w:vAlign w:val="center"/>
          </w:tcPr>
          <w:p w14:paraId="113AEEB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0.34</w:t>
            </w:r>
          </w:p>
        </w:tc>
      </w:tr>
      <w:tr w:rsidR="004D21C4" w:rsidRPr="00710644" w14:paraId="113AEEC7" w14:textId="77777777" w:rsidTr="004D21C4">
        <w:trPr>
          <w:trHeight w:val="283"/>
        </w:trPr>
        <w:tc>
          <w:tcPr>
            <w:tcW w:w="1631" w:type="dxa"/>
            <w:vMerge/>
            <w:tcMar>
              <w:top w:w="0" w:type="dxa"/>
              <w:left w:w="100" w:type="dxa"/>
              <w:bottom w:w="0" w:type="dxa"/>
              <w:right w:w="100" w:type="dxa"/>
            </w:tcMar>
          </w:tcPr>
          <w:p w14:paraId="113AEEC1" w14:textId="77777777" w:rsidR="004D21C4" w:rsidRPr="00710644" w:rsidRDefault="004D21C4" w:rsidP="004D21C4">
            <w:pPr>
              <w:rPr>
                <w:rFonts w:ascii="Times New Roman" w:hAnsi="Times New Roman" w:cs="Times New Roman"/>
                <w:b/>
                <w:bCs/>
              </w:rPr>
            </w:pPr>
          </w:p>
        </w:tc>
        <w:tc>
          <w:tcPr>
            <w:tcW w:w="2520" w:type="dxa"/>
          </w:tcPr>
          <w:p w14:paraId="113AEEC2"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Headache</w:t>
            </w:r>
          </w:p>
        </w:tc>
        <w:tc>
          <w:tcPr>
            <w:tcW w:w="1710" w:type="dxa"/>
            <w:tcMar>
              <w:top w:w="0" w:type="dxa"/>
              <w:left w:w="100" w:type="dxa"/>
              <w:bottom w:w="0" w:type="dxa"/>
              <w:right w:w="100" w:type="dxa"/>
            </w:tcMar>
            <w:vAlign w:val="center"/>
          </w:tcPr>
          <w:p w14:paraId="113AEEC3"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13 (15.3)</w:t>
            </w:r>
          </w:p>
        </w:tc>
        <w:tc>
          <w:tcPr>
            <w:tcW w:w="1676" w:type="dxa"/>
            <w:tcMar>
              <w:top w:w="0" w:type="dxa"/>
              <w:left w:w="100" w:type="dxa"/>
              <w:bottom w:w="0" w:type="dxa"/>
              <w:right w:w="100" w:type="dxa"/>
            </w:tcMar>
            <w:vAlign w:val="center"/>
          </w:tcPr>
          <w:p w14:paraId="113AEEC4"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8 (20.5)</w:t>
            </w:r>
          </w:p>
        </w:tc>
        <w:tc>
          <w:tcPr>
            <w:tcW w:w="1654" w:type="dxa"/>
            <w:tcMar>
              <w:top w:w="0" w:type="dxa"/>
              <w:left w:w="100" w:type="dxa"/>
              <w:bottom w:w="0" w:type="dxa"/>
              <w:right w:w="100" w:type="dxa"/>
            </w:tcMar>
            <w:vAlign w:val="center"/>
          </w:tcPr>
          <w:p w14:paraId="113AEEC5"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 (10.9)</w:t>
            </w:r>
          </w:p>
        </w:tc>
        <w:tc>
          <w:tcPr>
            <w:tcW w:w="872" w:type="dxa"/>
            <w:tcMar>
              <w:top w:w="0" w:type="dxa"/>
              <w:left w:w="100" w:type="dxa"/>
              <w:bottom w:w="0" w:type="dxa"/>
              <w:right w:w="100" w:type="dxa"/>
            </w:tcMar>
            <w:vAlign w:val="center"/>
          </w:tcPr>
          <w:p w14:paraId="113AEEC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0.24</w:t>
            </w:r>
          </w:p>
        </w:tc>
      </w:tr>
      <w:tr w:rsidR="004D21C4" w:rsidRPr="00710644" w14:paraId="113AEECE" w14:textId="77777777" w:rsidTr="004D21C4">
        <w:trPr>
          <w:trHeight w:val="283"/>
        </w:trPr>
        <w:tc>
          <w:tcPr>
            <w:tcW w:w="1631" w:type="dxa"/>
            <w:vMerge/>
            <w:tcMar>
              <w:top w:w="0" w:type="dxa"/>
              <w:left w:w="100" w:type="dxa"/>
              <w:bottom w:w="0" w:type="dxa"/>
              <w:right w:w="100" w:type="dxa"/>
            </w:tcMar>
          </w:tcPr>
          <w:p w14:paraId="113AEEC8" w14:textId="77777777" w:rsidR="004D21C4" w:rsidRPr="00710644" w:rsidRDefault="004D21C4" w:rsidP="004D21C4">
            <w:pPr>
              <w:rPr>
                <w:rFonts w:ascii="Times New Roman" w:hAnsi="Times New Roman" w:cs="Times New Roman"/>
                <w:b/>
                <w:bCs/>
              </w:rPr>
            </w:pPr>
          </w:p>
        </w:tc>
        <w:tc>
          <w:tcPr>
            <w:tcW w:w="2520" w:type="dxa"/>
          </w:tcPr>
          <w:p w14:paraId="113AEEC9"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Seizures</w:t>
            </w:r>
          </w:p>
        </w:tc>
        <w:tc>
          <w:tcPr>
            <w:tcW w:w="1710" w:type="dxa"/>
            <w:tcMar>
              <w:top w:w="0" w:type="dxa"/>
              <w:left w:w="100" w:type="dxa"/>
              <w:bottom w:w="0" w:type="dxa"/>
              <w:right w:w="100" w:type="dxa"/>
            </w:tcMar>
            <w:vAlign w:val="center"/>
          </w:tcPr>
          <w:p w14:paraId="113AEECA"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8 (9.4)</w:t>
            </w:r>
          </w:p>
        </w:tc>
        <w:tc>
          <w:tcPr>
            <w:tcW w:w="1676" w:type="dxa"/>
            <w:tcMar>
              <w:top w:w="0" w:type="dxa"/>
              <w:left w:w="100" w:type="dxa"/>
              <w:bottom w:w="0" w:type="dxa"/>
              <w:right w:w="100" w:type="dxa"/>
            </w:tcMar>
            <w:vAlign w:val="center"/>
          </w:tcPr>
          <w:p w14:paraId="113AEEC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 (10.3)</w:t>
            </w:r>
          </w:p>
        </w:tc>
        <w:tc>
          <w:tcPr>
            <w:tcW w:w="1654" w:type="dxa"/>
            <w:tcMar>
              <w:top w:w="0" w:type="dxa"/>
              <w:left w:w="100" w:type="dxa"/>
              <w:bottom w:w="0" w:type="dxa"/>
              <w:right w:w="100" w:type="dxa"/>
            </w:tcMar>
            <w:vAlign w:val="center"/>
          </w:tcPr>
          <w:p w14:paraId="113AEEC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 (8.7)</w:t>
            </w:r>
          </w:p>
        </w:tc>
        <w:tc>
          <w:tcPr>
            <w:tcW w:w="872" w:type="dxa"/>
            <w:tcMar>
              <w:top w:w="0" w:type="dxa"/>
              <w:left w:w="100" w:type="dxa"/>
              <w:bottom w:w="0" w:type="dxa"/>
              <w:right w:w="100" w:type="dxa"/>
            </w:tcMar>
            <w:vAlign w:val="center"/>
          </w:tcPr>
          <w:p w14:paraId="113AEEC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1.00</w:t>
            </w:r>
          </w:p>
        </w:tc>
      </w:tr>
      <w:tr w:rsidR="004D21C4" w:rsidRPr="00710644" w14:paraId="113AEED5" w14:textId="77777777" w:rsidTr="004D21C4">
        <w:trPr>
          <w:trHeight w:val="283"/>
        </w:trPr>
        <w:tc>
          <w:tcPr>
            <w:tcW w:w="1631" w:type="dxa"/>
            <w:vMerge/>
            <w:tcMar>
              <w:top w:w="0" w:type="dxa"/>
              <w:left w:w="100" w:type="dxa"/>
              <w:bottom w:w="0" w:type="dxa"/>
              <w:right w:w="100" w:type="dxa"/>
            </w:tcMar>
          </w:tcPr>
          <w:p w14:paraId="113AEECF" w14:textId="77777777" w:rsidR="004D21C4" w:rsidRPr="00710644" w:rsidRDefault="004D21C4" w:rsidP="004D21C4">
            <w:pPr>
              <w:rPr>
                <w:rFonts w:ascii="Times New Roman" w:hAnsi="Times New Roman" w:cs="Times New Roman"/>
                <w:b/>
                <w:bCs/>
              </w:rPr>
            </w:pPr>
          </w:p>
        </w:tc>
        <w:tc>
          <w:tcPr>
            <w:tcW w:w="2520" w:type="dxa"/>
          </w:tcPr>
          <w:p w14:paraId="113AEED0"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Low GCS</w:t>
            </w:r>
          </w:p>
        </w:tc>
        <w:tc>
          <w:tcPr>
            <w:tcW w:w="1710" w:type="dxa"/>
            <w:tcMar>
              <w:top w:w="0" w:type="dxa"/>
              <w:left w:w="100" w:type="dxa"/>
              <w:bottom w:w="0" w:type="dxa"/>
              <w:right w:w="100" w:type="dxa"/>
            </w:tcMar>
            <w:vAlign w:val="center"/>
          </w:tcPr>
          <w:p w14:paraId="113AEED1"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32 (37.7)</w:t>
            </w:r>
          </w:p>
        </w:tc>
        <w:tc>
          <w:tcPr>
            <w:tcW w:w="1676" w:type="dxa"/>
            <w:tcMar>
              <w:top w:w="0" w:type="dxa"/>
              <w:left w:w="100" w:type="dxa"/>
              <w:bottom w:w="0" w:type="dxa"/>
              <w:right w:w="100" w:type="dxa"/>
            </w:tcMar>
            <w:vAlign w:val="center"/>
          </w:tcPr>
          <w:p w14:paraId="113AEED2"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15 (38.5)</w:t>
            </w:r>
          </w:p>
        </w:tc>
        <w:tc>
          <w:tcPr>
            <w:tcW w:w="1654" w:type="dxa"/>
            <w:tcMar>
              <w:top w:w="0" w:type="dxa"/>
              <w:left w:w="100" w:type="dxa"/>
              <w:bottom w:w="0" w:type="dxa"/>
              <w:right w:w="100" w:type="dxa"/>
            </w:tcMar>
            <w:vAlign w:val="center"/>
          </w:tcPr>
          <w:p w14:paraId="113AEED3"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17 (37.0)</w:t>
            </w:r>
          </w:p>
        </w:tc>
        <w:tc>
          <w:tcPr>
            <w:tcW w:w="872" w:type="dxa"/>
            <w:tcMar>
              <w:top w:w="0" w:type="dxa"/>
              <w:left w:w="100" w:type="dxa"/>
              <w:bottom w:w="0" w:type="dxa"/>
              <w:right w:w="100" w:type="dxa"/>
            </w:tcMar>
            <w:vAlign w:val="center"/>
          </w:tcPr>
          <w:p w14:paraId="113AEED4"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0.89</w:t>
            </w:r>
          </w:p>
        </w:tc>
      </w:tr>
      <w:tr w:rsidR="004D21C4" w:rsidRPr="00710644" w14:paraId="113AEEDC" w14:textId="77777777" w:rsidTr="004D21C4">
        <w:trPr>
          <w:trHeight w:val="283"/>
        </w:trPr>
        <w:tc>
          <w:tcPr>
            <w:tcW w:w="1631" w:type="dxa"/>
            <w:vMerge/>
            <w:tcMar>
              <w:top w:w="0" w:type="dxa"/>
              <w:left w:w="100" w:type="dxa"/>
              <w:bottom w:w="0" w:type="dxa"/>
              <w:right w:w="100" w:type="dxa"/>
            </w:tcMar>
          </w:tcPr>
          <w:p w14:paraId="113AEED6" w14:textId="77777777" w:rsidR="004D21C4" w:rsidRPr="00710644" w:rsidRDefault="004D21C4" w:rsidP="004D21C4">
            <w:pPr>
              <w:rPr>
                <w:rFonts w:ascii="Times New Roman" w:hAnsi="Times New Roman" w:cs="Times New Roman"/>
                <w:b/>
                <w:bCs/>
              </w:rPr>
            </w:pPr>
          </w:p>
        </w:tc>
        <w:tc>
          <w:tcPr>
            <w:tcW w:w="2520" w:type="dxa"/>
          </w:tcPr>
          <w:p w14:paraId="113AEED7"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Wound Discharge</w:t>
            </w:r>
          </w:p>
        </w:tc>
        <w:tc>
          <w:tcPr>
            <w:tcW w:w="1710" w:type="dxa"/>
            <w:tcMar>
              <w:top w:w="0" w:type="dxa"/>
              <w:left w:w="100" w:type="dxa"/>
              <w:bottom w:w="0" w:type="dxa"/>
              <w:right w:w="100" w:type="dxa"/>
            </w:tcMar>
            <w:vAlign w:val="center"/>
          </w:tcPr>
          <w:p w14:paraId="113AEED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11 (12.9)</w:t>
            </w:r>
          </w:p>
        </w:tc>
        <w:tc>
          <w:tcPr>
            <w:tcW w:w="1676" w:type="dxa"/>
            <w:tcMar>
              <w:top w:w="0" w:type="dxa"/>
              <w:left w:w="100" w:type="dxa"/>
              <w:bottom w:w="0" w:type="dxa"/>
              <w:right w:w="100" w:type="dxa"/>
            </w:tcMar>
            <w:vAlign w:val="center"/>
          </w:tcPr>
          <w:p w14:paraId="113AEED9"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 (15.4)</w:t>
            </w:r>
          </w:p>
        </w:tc>
        <w:tc>
          <w:tcPr>
            <w:tcW w:w="1654" w:type="dxa"/>
            <w:tcMar>
              <w:top w:w="0" w:type="dxa"/>
              <w:left w:w="100" w:type="dxa"/>
              <w:bottom w:w="0" w:type="dxa"/>
              <w:right w:w="100" w:type="dxa"/>
            </w:tcMar>
            <w:vAlign w:val="center"/>
          </w:tcPr>
          <w:p w14:paraId="113AEEDA"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 (10.9)</w:t>
            </w:r>
          </w:p>
        </w:tc>
        <w:tc>
          <w:tcPr>
            <w:tcW w:w="872" w:type="dxa"/>
            <w:tcMar>
              <w:top w:w="0" w:type="dxa"/>
              <w:left w:w="100" w:type="dxa"/>
              <w:bottom w:w="0" w:type="dxa"/>
              <w:right w:w="100" w:type="dxa"/>
            </w:tcMar>
            <w:vAlign w:val="center"/>
          </w:tcPr>
          <w:p w14:paraId="113AEED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0.75</w:t>
            </w:r>
          </w:p>
        </w:tc>
      </w:tr>
      <w:tr w:rsidR="004D21C4" w:rsidRPr="00710644" w14:paraId="113AEEE3" w14:textId="77777777" w:rsidTr="004D21C4">
        <w:trPr>
          <w:trHeight w:val="283"/>
        </w:trPr>
        <w:tc>
          <w:tcPr>
            <w:tcW w:w="1631" w:type="dxa"/>
            <w:vMerge/>
            <w:tcMar>
              <w:top w:w="0" w:type="dxa"/>
              <w:left w:w="100" w:type="dxa"/>
              <w:bottom w:w="0" w:type="dxa"/>
              <w:right w:w="100" w:type="dxa"/>
            </w:tcMar>
          </w:tcPr>
          <w:p w14:paraId="113AEEDD" w14:textId="77777777" w:rsidR="004D21C4" w:rsidRPr="00710644" w:rsidRDefault="004D21C4" w:rsidP="004D21C4">
            <w:pPr>
              <w:rPr>
                <w:rFonts w:ascii="Times New Roman" w:hAnsi="Times New Roman" w:cs="Times New Roman"/>
                <w:b/>
                <w:bCs/>
              </w:rPr>
            </w:pPr>
          </w:p>
        </w:tc>
        <w:tc>
          <w:tcPr>
            <w:tcW w:w="2520" w:type="dxa"/>
          </w:tcPr>
          <w:p w14:paraId="113AEEDE"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leak</w:t>
            </w:r>
          </w:p>
        </w:tc>
        <w:tc>
          <w:tcPr>
            <w:tcW w:w="1710" w:type="dxa"/>
            <w:tcMar>
              <w:top w:w="0" w:type="dxa"/>
              <w:left w:w="100" w:type="dxa"/>
              <w:bottom w:w="0" w:type="dxa"/>
              <w:right w:w="100" w:type="dxa"/>
            </w:tcMar>
            <w:vAlign w:val="center"/>
          </w:tcPr>
          <w:p w14:paraId="113AEED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12 (14.1)</w:t>
            </w:r>
          </w:p>
        </w:tc>
        <w:tc>
          <w:tcPr>
            <w:tcW w:w="1676" w:type="dxa"/>
            <w:tcMar>
              <w:top w:w="0" w:type="dxa"/>
              <w:left w:w="100" w:type="dxa"/>
              <w:bottom w:w="0" w:type="dxa"/>
              <w:right w:w="100" w:type="dxa"/>
            </w:tcMar>
            <w:vAlign w:val="center"/>
          </w:tcPr>
          <w:p w14:paraId="113AEEE0"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8 (20.5)</w:t>
            </w:r>
          </w:p>
        </w:tc>
        <w:tc>
          <w:tcPr>
            <w:tcW w:w="1654" w:type="dxa"/>
            <w:tcMar>
              <w:top w:w="0" w:type="dxa"/>
              <w:left w:w="100" w:type="dxa"/>
              <w:bottom w:w="0" w:type="dxa"/>
              <w:right w:w="100" w:type="dxa"/>
            </w:tcMar>
            <w:vAlign w:val="center"/>
          </w:tcPr>
          <w:p w14:paraId="113AEEE1"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 (8.7)</w:t>
            </w:r>
          </w:p>
        </w:tc>
        <w:tc>
          <w:tcPr>
            <w:tcW w:w="872" w:type="dxa"/>
            <w:tcMar>
              <w:top w:w="0" w:type="dxa"/>
              <w:left w:w="100" w:type="dxa"/>
              <w:bottom w:w="0" w:type="dxa"/>
              <w:right w:w="100" w:type="dxa"/>
            </w:tcMar>
            <w:vAlign w:val="center"/>
          </w:tcPr>
          <w:p w14:paraId="113AEEE2"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0.13</w:t>
            </w:r>
          </w:p>
        </w:tc>
      </w:tr>
      <w:tr w:rsidR="004D21C4" w:rsidRPr="00710644" w14:paraId="113AEEEA" w14:textId="77777777" w:rsidTr="004D21C4">
        <w:trPr>
          <w:trHeight w:val="283"/>
        </w:trPr>
        <w:tc>
          <w:tcPr>
            <w:tcW w:w="1631" w:type="dxa"/>
            <w:vMerge/>
            <w:tcMar>
              <w:top w:w="0" w:type="dxa"/>
              <w:left w:w="100" w:type="dxa"/>
              <w:bottom w:w="0" w:type="dxa"/>
              <w:right w:w="100" w:type="dxa"/>
            </w:tcMar>
          </w:tcPr>
          <w:p w14:paraId="113AEEE4" w14:textId="77777777" w:rsidR="004D21C4" w:rsidRPr="00710644" w:rsidRDefault="004D21C4" w:rsidP="004D21C4">
            <w:pPr>
              <w:rPr>
                <w:rFonts w:ascii="Times New Roman" w:hAnsi="Times New Roman" w:cs="Times New Roman"/>
                <w:b/>
                <w:bCs/>
              </w:rPr>
            </w:pPr>
          </w:p>
        </w:tc>
        <w:tc>
          <w:tcPr>
            <w:tcW w:w="2520" w:type="dxa"/>
          </w:tcPr>
          <w:p w14:paraId="113AEEE5"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Neck stiffness</w:t>
            </w:r>
          </w:p>
        </w:tc>
        <w:tc>
          <w:tcPr>
            <w:tcW w:w="1710" w:type="dxa"/>
            <w:tcMar>
              <w:top w:w="0" w:type="dxa"/>
              <w:left w:w="100" w:type="dxa"/>
              <w:bottom w:w="0" w:type="dxa"/>
              <w:right w:w="100" w:type="dxa"/>
            </w:tcMar>
            <w:vAlign w:val="center"/>
          </w:tcPr>
          <w:p w14:paraId="113AEEE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 (20.0)</w:t>
            </w:r>
          </w:p>
        </w:tc>
        <w:tc>
          <w:tcPr>
            <w:tcW w:w="1676" w:type="dxa"/>
            <w:tcMar>
              <w:top w:w="0" w:type="dxa"/>
              <w:left w:w="100" w:type="dxa"/>
              <w:bottom w:w="0" w:type="dxa"/>
              <w:right w:w="100" w:type="dxa"/>
            </w:tcMar>
            <w:vAlign w:val="center"/>
          </w:tcPr>
          <w:p w14:paraId="113AEEE7"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 (33.3)</w:t>
            </w:r>
          </w:p>
        </w:tc>
        <w:tc>
          <w:tcPr>
            <w:tcW w:w="1654" w:type="dxa"/>
            <w:tcMar>
              <w:top w:w="0" w:type="dxa"/>
              <w:left w:w="100" w:type="dxa"/>
              <w:bottom w:w="0" w:type="dxa"/>
              <w:right w:w="100" w:type="dxa"/>
            </w:tcMar>
            <w:vAlign w:val="center"/>
          </w:tcPr>
          <w:p w14:paraId="113AEEE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 (0.0)</w:t>
            </w:r>
          </w:p>
        </w:tc>
        <w:tc>
          <w:tcPr>
            <w:tcW w:w="872" w:type="dxa"/>
            <w:vMerge w:val="restart"/>
            <w:tcMar>
              <w:top w:w="0" w:type="dxa"/>
              <w:left w:w="100" w:type="dxa"/>
              <w:bottom w:w="0" w:type="dxa"/>
              <w:right w:w="100" w:type="dxa"/>
            </w:tcMar>
            <w:vAlign w:val="center"/>
          </w:tcPr>
          <w:p w14:paraId="113AEEE9"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1.00</w:t>
            </w:r>
          </w:p>
        </w:tc>
      </w:tr>
      <w:tr w:rsidR="004D21C4" w:rsidRPr="00710644" w14:paraId="113AEEF1" w14:textId="77777777" w:rsidTr="004D21C4">
        <w:trPr>
          <w:trHeight w:val="283"/>
        </w:trPr>
        <w:tc>
          <w:tcPr>
            <w:tcW w:w="1631" w:type="dxa"/>
            <w:vMerge/>
            <w:tcMar>
              <w:top w:w="0" w:type="dxa"/>
              <w:left w:w="100" w:type="dxa"/>
              <w:bottom w:w="0" w:type="dxa"/>
              <w:right w:w="100" w:type="dxa"/>
            </w:tcMar>
          </w:tcPr>
          <w:p w14:paraId="113AEEEB" w14:textId="77777777" w:rsidR="004D21C4" w:rsidRPr="00710644" w:rsidRDefault="004D21C4" w:rsidP="004D21C4">
            <w:pPr>
              <w:rPr>
                <w:rFonts w:ascii="Times New Roman" w:hAnsi="Times New Roman" w:cs="Times New Roman"/>
                <w:b/>
                <w:bCs/>
              </w:rPr>
            </w:pPr>
          </w:p>
        </w:tc>
        <w:tc>
          <w:tcPr>
            <w:tcW w:w="2520" w:type="dxa"/>
          </w:tcPr>
          <w:p w14:paraId="113AEEEC"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Neck symptoms</w:t>
            </w:r>
          </w:p>
        </w:tc>
        <w:tc>
          <w:tcPr>
            <w:tcW w:w="1710" w:type="dxa"/>
            <w:tcMar>
              <w:top w:w="0" w:type="dxa"/>
              <w:left w:w="100" w:type="dxa"/>
              <w:bottom w:w="0" w:type="dxa"/>
              <w:right w:w="100" w:type="dxa"/>
            </w:tcMar>
            <w:vAlign w:val="center"/>
          </w:tcPr>
          <w:p w14:paraId="113AEEE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 (20.0)</w:t>
            </w:r>
          </w:p>
        </w:tc>
        <w:tc>
          <w:tcPr>
            <w:tcW w:w="1676" w:type="dxa"/>
            <w:tcMar>
              <w:top w:w="0" w:type="dxa"/>
              <w:left w:w="100" w:type="dxa"/>
              <w:bottom w:w="0" w:type="dxa"/>
              <w:right w:w="100" w:type="dxa"/>
            </w:tcMar>
            <w:vAlign w:val="center"/>
          </w:tcPr>
          <w:p w14:paraId="113AEEEE"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 (0.0)</w:t>
            </w:r>
          </w:p>
        </w:tc>
        <w:tc>
          <w:tcPr>
            <w:tcW w:w="1654" w:type="dxa"/>
            <w:tcMar>
              <w:top w:w="0" w:type="dxa"/>
              <w:left w:w="100" w:type="dxa"/>
              <w:bottom w:w="0" w:type="dxa"/>
              <w:right w:w="100" w:type="dxa"/>
            </w:tcMar>
            <w:vAlign w:val="center"/>
          </w:tcPr>
          <w:p w14:paraId="113AEEE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 (50.0)</w:t>
            </w:r>
          </w:p>
        </w:tc>
        <w:tc>
          <w:tcPr>
            <w:tcW w:w="872" w:type="dxa"/>
            <w:vMerge/>
            <w:tcMar>
              <w:top w:w="0" w:type="dxa"/>
              <w:left w:w="100" w:type="dxa"/>
              <w:bottom w:w="0" w:type="dxa"/>
              <w:right w:w="100" w:type="dxa"/>
            </w:tcMar>
            <w:vAlign w:val="center"/>
          </w:tcPr>
          <w:p w14:paraId="113AEEF0" w14:textId="77777777" w:rsidR="004D21C4" w:rsidRPr="00710644" w:rsidRDefault="004D21C4" w:rsidP="004D21C4">
            <w:pPr>
              <w:jc w:val="right"/>
              <w:rPr>
                <w:rFonts w:ascii="Times New Roman" w:hAnsi="Times New Roman" w:cs="Times New Roman"/>
              </w:rPr>
            </w:pPr>
          </w:p>
        </w:tc>
      </w:tr>
      <w:tr w:rsidR="004D21C4" w:rsidRPr="00710644" w14:paraId="113AEEF8" w14:textId="77777777" w:rsidTr="004D21C4">
        <w:trPr>
          <w:trHeight w:val="283"/>
        </w:trPr>
        <w:tc>
          <w:tcPr>
            <w:tcW w:w="1631" w:type="dxa"/>
            <w:vMerge/>
            <w:tcMar>
              <w:top w:w="0" w:type="dxa"/>
              <w:left w:w="100" w:type="dxa"/>
              <w:bottom w:w="0" w:type="dxa"/>
              <w:right w:w="100" w:type="dxa"/>
            </w:tcMar>
          </w:tcPr>
          <w:p w14:paraId="113AEEF2" w14:textId="77777777" w:rsidR="004D21C4" w:rsidRPr="00710644" w:rsidRDefault="004D21C4" w:rsidP="004D21C4">
            <w:pPr>
              <w:rPr>
                <w:rFonts w:ascii="Times New Roman" w:hAnsi="Times New Roman" w:cs="Times New Roman"/>
                <w:b/>
                <w:bCs/>
              </w:rPr>
            </w:pPr>
          </w:p>
        </w:tc>
        <w:tc>
          <w:tcPr>
            <w:tcW w:w="2520" w:type="dxa"/>
          </w:tcPr>
          <w:p w14:paraId="113AEEF3"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Vomiting</w:t>
            </w:r>
          </w:p>
        </w:tc>
        <w:tc>
          <w:tcPr>
            <w:tcW w:w="1710" w:type="dxa"/>
            <w:tcMar>
              <w:top w:w="0" w:type="dxa"/>
              <w:left w:w="100" w:type="dxa"/>
              <w:bottom w:w="0" w:type="dxa"/>
              <w:right w:w="100" w:type="dxa"/>
            </w:tcMar>
            <w:vAlign w:val="center"/>
          </w:tcPr>
          <w:p w14:paraId="113AEEF4"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 (60.0)</w:t>
            </w:r>
          </w:p>
        </w:tc>
        <w:tc>
          <w:tcPr>
            <w:tcW w:w="1676" w:type="dxa"/>
            <w:tcMar>
              <w:top w:w="0" w:type="dxa"/>
              <w:left w:w="100" w:type="dxa"/>
              <w:bottom w:w="0" w:type="dxa"/>
              <w:right w:w="100" w:type="dxa"/>
            </w:tcMar>
            <w:vAlign w:val="center"/>
          </w:tcPr>
          <w:p w14:paraId="113AEEF5"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2 (66.7)</w:t>
            </w:r>
          </w:p>
        </w:tc>
        <w:tc>
          <w:tcPr>
            <w:tcW w:w="1654" w:type="dxa"/>
            <w:tcMar>
              <w:top w:w="0" w:type="dxa"/>
              <w:left w:w="100" w:type="dxa"/>
              <w:bottom w:w="0" w:type="dxa"/>
              <w:right w:w="100" w:type="dxa"/>
            </w:tcMar>
            <w:vAlign w:val="center"/>
          </w:tcPr>
          <w:p w14:paraId="113AEEF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 (50.0)</w:t>
            </w:r>
          </w:p>
        </w:tc>
        <w:tc>
          <w:tcPr>
            <w:tcW w:w="872" w:type="dxa"/>
            <w:vMerge/>
            <w:tcMar>
              <w:top w:w="0" w:type="dxa"/>
              <w:left w:w="100" w:type="dxa"/>
              <w:bottom w:w="0" w:type="dxa"/>
              <w:right w:w="100" w:type="dxa"/>
            </w:tcMar>
            <w:vAlign w:val="center"/>
          </w:tcPr>
          <w:p w14:paraId="113AEEF7" w14:textId="77777777" w:rsidR="004D21C4" w:rsidRPr="00710644" w:rsidRDefault="004D21C4" w:rsidP="004D21C4">
            <w:pPr>
              <w:jc w:val="right"/>
              <w:rPr>
                <w:rFonts w:ascii="Times New Roman" w:hAnsi="Times New Roman" w:cs="Times New Roman"/>
              </w:rPr>
            </w:pPr>
          </w:p>
        </w:tc>
      </w:tr>
      <w:tr w:rsidR="004D21C4" w:rsidRPr="00710644" w14:paraId="113AEEFF" w14:textId="77777777" w:rsidTr="004D21C4">
        <w:trPr>
          <w:trHeight w:val="283"/>
        </w:trPr>
        <w:tc>
          <w:tcPr>
            <w:tcW w:w="1631" w:type="dxa"/>
            <w:vMerge w:val="restart"/>
            <w:tcMar>
              <w:top w:w="0" w:type="dxa"/>
              <w:left w:w="100" w:type="dxa"/>
              <w:bottom w:w="0" w:type="dxa"/>
              <w:right w:w="100" w:type="dxa"/>
            </w:tcMar>
            <w:vAlign w:val="center"/>
          </w:tcPr>
          <w:p w14:paraId="113AEEF9" w14:textId="77777777" w:rsidR="004D21C4" w:rsidRPr="00710644" w:rsidRDefault="004D21C4" w:rsidP="004D21C4">
            <w:pPr>
              <w:rPr>
                <w:rFonts w:ascii="Times New Roman" w:hAnsi="Times New Roman" w:cs="Times New Roman"/>
                <w:b/>
                <w:bCs/>
              </w:rPr>
            </w:pPr>
            <w:r>
              <w:rPr>
                <w:rFonts w:ascii="Times New Roman" w:hAnsi="Times New Roman" w:cs="Times New Roman"/>
                <w:b/>
                <w:bCs/>
              </w:rPr>
              <w:t>Whole blood analysis</w:t>
            </w:r>
          </w:p>
        </w:tc>
        <w:tc>
          <w:tcPr>
            <w:tcW w:w="2520" w:type="dxa"/>
          </w:tcPr>
          <w:p w14:paraId="113AEEFA"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TLC (x 10E9/L)</w:t>
            </w:r>
          </w:p>
        </w:tc>
        <w:tc>
          <w:tcPr>
            <w:tcW w:w="1710" w:type="dxa"/>
            <w:tcMar>
              <w:top w:w="0" w:type="dxa"/>
              <w:left w:w="100" w:type="dxa"/>
              <w:bottom w:w="0" w:type="dxa"/>
              <w:right w:w="100" w:type="dxa"/>
            </w:tcMar>
            <w:vAlign w:val="center"/>
          </w:tcPr>
          <w:p w14:paraId="113AEEF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12.9 ± 4.9</w:t>
            </w:r>
          </w:p>
        </w:tc>
        <w:tc>
          <w:tcPr>
            <w:tcW w:w="1676" w:type="dxa"/>
            <w:tcMar>
              <w:top w:w="0" w:type="dxa"/>
              <w:left w:w="100" w:type="dxa"/>
              <w:bottom w:w="0" w:type="dxa"/>
              <w:right w:w="100" w:type="dxa"/>
            </w:tcMar>
            <w:vAlign w:val="center"/>
          </w:tcPr>
          <w:p w14:paraId="113AEEF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13.6 ± 5.3</w:t>
            </w:r>
          </w:p>
        </w:tc>
        <w:tc>
          <w:tcPr>
            <w:tcW w:w="1654" w:type="dxa"/>
            <w:tcMar>
              <w:top w:w="0" w:type="dxa"/>
              <w:left w:w="100" w:type="dxa"/>
              <w:bottom w:w="0" w:type="dxa"/>
              <w:right w:w="100" w:type="dxa"/>
            </w:tcMar>
            <w:vAlign w:val="center"/>
          </w:tcPr>
          <w:p w14:paraId="113AEEF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12.4 ± 4.6</w:t>
            </w:r>
          </w:p>
        </w:tc>
        <w:tc>
          <w:tcPr>
            <w:tcW w:w="872" w:type="dxa"/>
            <w:tcMar>
              <w:top w:w="0" w:type="dxa"/>
              <w:left w:w="100" w:type="dxa"/>
              <w:bottom w:w="0" w:type="dxa"/>
              <w:right w:w="100" w:type="dxa"/>
            </w:tcMar>
            <w:vAlign w:val="center"/>
          </w:tcPr>
          <w:p w14:paraId="113AEEFE"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0.27</w:t>
            </w:r>
          </w:p>
        </w:tc>
      </w:tr>
      <w:tr w:rsidR="004D21C4" w:rsidRPr="00710644" w14:paraId="113AEF06" w14:textId="77777777" w:rsidTr="004D21C4">
        <w:trPr>
          <w:trHeight w:val="283"/>
        </w:trPr>
        <w:tc>
          <w:tcPr>
            <w:tcW w:w="1631" w:type="dxa"/>
            <w:vMerge/>
            <w:tcMar>
              <w:top w:w="0" w:type="dxa"/>
              <w:left w:w="100" w:type="dxa"/>
              <w:bottom w:w="0" w:type="dxa"/>
              <w:right w:w="100" w:type="dxa"/>
            </w:tcMar>
          </w:tcPr>
          <w:p w14:paraId="113AEF00" w14:textId="77777777" w:rsidR="004D21C4" w:rsidRPr="00710644" w:rsidRDefault="004D21C4" w:rsidP="004D21C4">
            <w:pPr>
              <w:rPr>
                <w:rFonts w:ascii="Times New Roman" w:hAnsi="Times New Roman" w:cs="Times New Roman"/>
                <w:b/>
                <w:bCs/>
              </w:rPr>
            </w:pPr>
          </w:p>
        </w:tc>
        <w:tc>
          <w:tcPr>
            <w:tcW w:w="2520" w:type="dxa"/>
          </w:tcPr>
          <w:p w14:paraId="113AEF01"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CRP (mg/L)</w:t>
            </w:r>
          </w:p>
        </w:tc>
        <w:tc>
          <w:tcPr>
            <w:tcW w:w="1710" w:type="dxa"/>
            <w:tcMar>
              <w:top w:w="0" w:type="dxa"/>
              <w:left w:w="100" w:type="dxa"/>
              <w:bottom w:w="0" w:type="dxa"/>
              <w:right w:w="100" w:type="dxa"/>
            </w:tcMar>
            <w:vAlign w:val="center"/>
          </w:tcPr>
          <w:p w14:paraId="113AEF02"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11 (1.9 – 36)</w:t>
            </w:r>
          </w:p>
        </w:tc>
        <w:tc>
          <w:tcPr>
            <w:tcW w:w="1676" w:type="dxa"/>
            <w:tcMar>
              <w:top w:w="0" w:type="dxa"/>
              <w:left w:w="100" w:type="dxa"/>
              <w:bottom w:w="0" w:type="dxa"/>
              <w:right w:w="100" w:type="dxa"/>
            </w:tcMar>
            <w:vAlign w:val="center"/>
          </w:tcPr>
          <w:p w14:paraId="113AEF03"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16.7 (4.9 – 45)</w:t>
            </w:r>
          </w:p>
        </w:tc>
        <w:tc>
          <w:tcPr>
            <w:tcW w:w="1654" w:type="dxa"/>
            <w:tcMar>
              <w:top w:w="0" w:type="dxa"/>
              <w:left w:w="100" w:type="dxa"/>
              <w:bottom w:w="0" w:type="dxa"/>
              <w:right w:w="100" w:type="dxa"/>
            </w:tcMar>
            <w:vAlign w:val="center"/>
          </w:tcPr>
          <w:p w14:paraId="113AEF04"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5.5 (1.6 – 28.4)</w:t>
            </w:r>
          </w:p>
        </w:tc>
        <w:tc>
          <w:tcPr>
            <w:tcW w:w="872" w:type="dxa"/>
            <w:tcMar>
              <w:top w:w="0" w:type="dxa"/>
              <w:left w:w="100" w:type="dxa"/>
              <w:bottom w:w="0" w:type="dxa"/>
              <w:right w:w="100" w:type="dxa"/>
            </w:tcMar>
            <w:vAlign w:val="center"/>
          </w:tcPr>
          <w:p w14:paraId="113AEF05"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0.66</w:t>
            </w:r>
          </w:p>
        </w:tc>
      </w:tr>
      <w:tr w:rsidR="004D21C4" w:rsidRPr="00710644" w14:paraId="113AEF0D" w14:textId="77777777" w:rsidTr="004D21C4">
        <w:trPr>
          <w:trHeight w:val="283"/>
        </w:trPr>
        <w:tc>
          <w:tcPr>
            <w:tcW w:w="1631" w:type="dxa"/>
            <w:vMerge/>
            <w:tcMar>
              <w:top w:w="0" w:type="dxa"/>
              <w:left w:w="100" w:type="dxa"/>
              <w:bottom w:w="0" w:type="dxa"/>
              <w:right w:w="100" w:type="dxa"/>
            </w:tcMar>
          </w:tcPr>
          <w:p w14:paraId="113AEF07" w14:textId="77777777" w:rsidR="004D21C4" w:rsidRPr="00710644" w:rsidRDefault="004D21C4" w:rsidP="004D21C4">
            <w:pPr>
              <w:rPr>
                <w:rFonts w:ascii="Times New Roman" w:hAnsi="Times New Roman" w:cs="Times New Roman"/>
                <w:b/>
                <w:bCs/>
              </w:rPr>
            </w:pPr>
          </w:p>
        </w:tc>
        <w:tc>
          <w:tcPr>
            <w:tcW w:w="2520" w:type="dxa"/>
          </w:tcPr>
          <w:p w14:paraId="113AEF08"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Blood culture done</w:t>
            </w:r>
          </w:p>
        </w:tc>
        <w:tc>
          <w:tcPr>
            <w:tcW w:w="1710" w:type="dxa"/>
            <w:tcMar>
              <w:top w:w="0" w:type="dxa"/>
              <w:left w:w="100" w:type="dxa"/>
              <w:bottom w:w="0" w:type="dxa"/>
              <w:right w:w="100" w:type="dxa"/>
            </w:tcMar>
            <w:vAlign w:val="center"/>
          </w:tcPr>
          <w:p w14:paraId="113AEF09"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66 (77.6)</w:t>
            </w:r>
          </w:p>
        </w:tc>
        <w:tc>
          <w:tcPr>
            <w:tcW w:w="1676" w:type="dxa"/>
            <w:tcMar>
              <w:top w:w="0" w:type="dxa"/>
              <w:left w:w="100" w:type="dxa"/>
              <w:bottom w:w="0" w:type="dxa"/>
              <w:right w:w="100" w:type="dxa"/>
            </w:tcMar>
            <w:vAlign w:val="center"/>
          </w:tcPr>
          <w:p w14:paraId="113AEF0A"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32 (82.1)</w:t>
            </w:r>
          </w:p>
        </w:tc>
        <w:tc>
          <w:tcPr>
            <w:tcW w:w="1654" w:type="dxa"/>
            <w:tcMar>
              <w:top w:w="0" w:type="dxa"/>
              <w:left w:w="100" w:type="dxa"/>
              <w:bottom w:w="0" w:type="dxa"/>
              <w:right w:w="100" w:type="dxa"/>
            </w:tcMar>
            <w:vAlign w:val="center"/>
          </w:tcPr>
          <w:p w14:paraId="113AEF0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37 (80.5)</w:t>
            </w:r>
          </w:p>
        </w:tc>
        <w:tc>
          <w:tcPr>
            <w:tcW w:w="872" w:type="dxa"/>
            <w:tcMar>
              <w:top w:w="0" w:type="dxa"/>
              <w:left w:w="100" w:type="dxa"/>
              <w:bottom w:w="0" w:type="dxa"/>
              <w:right w:w="100" w:type="dxa"/>
            </w:tcMar>
            <w:vAlign w:val="center"/>
          </w:tcPr>
          <w:p w14:paraId="113AEF0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0.98</w:t>
            </w:r>
          </w:p>
        </w:tc>
      </w:tr>
      <w:tr w:rsidR="004D21C4" w:rsidRPr="00710644" w14:paraId="113AEF14" w14:textId="77777777" w:rsidTr="004D21C4">
        <w:trPr>
          <w:trHeight w:val="283"/>
        </w:trPr>
        <w:tc>
          <w:tcPr>
            <w:tcW w:w="1631" w:type="dxa"/>
            <w:vMerge/>
            <w:tcMar>
              <w:top w:w="0" w:type="dxa"/>
              <w:left w:w="100" w:type="dxa"/>
              <w:bottom w:w="0" w:type="dxa"/>
              <w:right w:w="100" w:type="dxa"/>
            </w:tcMar>
          </w:tcPr>
          <w:p w14:paraId="113AEF0E" w14:textId="77777777" w:rsidR="004D21C4" w:rsidRPr="00710644" w:rsidRDefault="004D21C4" w:rsidP="004D21C4">
            <w:pPr>
              <w:rPr>
                <w:rFonts w:ascii="Times New Roman" w:hAnsi="Times New Roman" w:cs="Times New Roman"/>
                <w:b/>
                <w:bCs/>
              </w:rPr>
            </w:pPr>
          </w:p>
        </w:tc>
        <w:tc>
          <w:tcPr>
            <w:tcW w:w="2520" w:type="dxa"/>
          </w:tcPr>
          <w:p w14:paraId="113AEF0F"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No Growth</w:t>
            </w:r>
          </w:p>
        </w:tc>
        <w:tc>
          <w:tcPr>
            <w:tcW w:w="1710" w:type="dxa"/>
            <w:tcMar>
              <w:top w:w="0" w:type="dxa"/>
              <w:left w:w="100" w:type="dxa"/>
              <w:bottom w:w="0" w:type="dxa"/>
              <w:right w:w="100" w:type="dxa"/>
            </w:tcMar>
            <w:vAlign w:val="center"/>
          </w:tcPr>
          <w:p w14:paraId="113AEF10"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60 (90.9)</w:t>
            </w:r>
          </w:p>
        </w:tc>
        <w:tc>
          <w:tcPr>
            <w:tcW w:w="1676" w:type="dxa"/>
            <w:tcMar>
              <w:top w:w="0" w:type="dxa"/>
              <w:left w:w="100" w:type="dxa"/>
              <w:bottom w:w="0" w:type="dxa"/>
              <w:right w:w="100" w:type="dxa"/>
            </w:tcMar>
            <w:vAlign w:val="center"/>
          </w:tcPr>
          <w:p w14:paraId="113AEF11"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26 (86.7)</w:t>
            </w:r>
          </w:p>
        </w:tc>
        <w:tc>
          <w:tcPr>
            <w:tcW w:w="1654" w:type="dxa"/>
            <w:tcMar>
              <w:top w:w="0" w:type="dxa"/>
              <w:left w:w="100" w:type="dxa"/>
              <w:bottom w:w="0" w:type="dxa"/>
              <w:right w:w="100" w:type="dxa"/>
            </w:tcMar>
            <w:vAlign w:val="center"/>
          </w:tcPr>
          <w:p w14:paraId="113AEF12"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34 (94.4)</w:t>
            </w:r>
          </w:p>
        </w:tc>
        <w:tc>
          <w:tcPr>
            <w:tcW w:w="872" w:type="dxa"/>
            <w:vMerge w:val="restart"/>
            <w:tcMar>
              <w:top w:w="0" w:type="dxa"/>
              <w:left w:w="100" w:type="dxa"/>
              <w:bottom w:w="0" w:type="dxa"/>
              <w:right w:w="100" w:type="dxa"/>
            </w:tcMar>
            <w:vAlign w:val="center"/>
          </w:tcPr>
          <w:p w14:paraId="113AEF13"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0.39</w:t>
            </w:r>
          </w:p>
        </w:tc>
      </w:tr>
      <w:tr w:rsidR="004D21C4" w:rsidRPr="00710644" w14:paraId="113AEF1B" w14:textId="77777777" w:rsidTr="004D21C4">
        <w:trPr>
          <w:trHeight w:val="283"/>
        </w:trPr>
        <w:tc>
          <w:tcPr>
            <w:tcW w:w="1631" w:type="dxa"/>
            <w:vMerge/>
            <w:tcMar>
              <w:top w:w="0" w:type="dxa"/>
              <w:left w:w="100" w:type="dxa"/>
              <w:bottom w:w="0" w:type="dxa"/>
              <w:right w:w="100" w:type="dxa"/>
            </w:tcMar>
          </w:tcPr>
          <w:p w14:paraId="113AEF15" w14:textId="77777777" w:rsidR="004D21C4" w:rsidRPr="00710644" w:rsidRDefault="004D21C4" w:rsidP="004D21C4">
            <w:pPr>
              <w:rPr>
                <w:rFonts w:ascii="Times New Roman" w:hAnsi="Times New Roman" w:cs="Times New Roman"/>
                <w:b/>
                <w:bCs/>
              </w:rPr>
            </w:pPr>
          </w:p>
        </w:tc>
        <w:tc>
          <w:tcPr>
            <w:tcW w:w="2520" w:type="dxa"/>
          </w:tcPr>
          <w:p w14:paraId="113AEF16"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Growth</w:t>
            </w:r>
          </w:p>
        </w:tc>
        <w:tc>
          <w:tcPr>
            <w:tcW w:w="1710" w:type="dxa"/>
            <w:tcMar>
              <w:top w:w="0" w:type="dxa"/>
              <w:left w:w="100" w:type="dxa"/>
              <w:bottom w:w="0" w:type="dxa"/>
              <w:right w:w="100" w:type="dxa"/>
            </w:tcMar>
            <w:vAlign w:val="center"/>
          </w:tcPr>
          <w:p w14:paraId="113AEF17"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 (9.1)</w:t>
            </w:r>
          </w:p>
        </w:tc>
        <w:tc>
          <w:tcPr>
            <w:tcW w:w="1676" w:type="dxa"/>
            <w:tcMar>
              <w:top w:w="0" w:type="dxa"/>
              <w:left w:w="100" w:type="dxa"/>
              <w:bottom w:w="0" w:type="dxa"/>
              <w:right w:w="100" w:type="dxa"/>
            </w:tcMar>
            <w:vAlign w:val="center"/>
          </w:tcPr>
          <w:p w14:paraId="113AEF1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 (13.3)</w:t>
            </w:r>
          </w:p>
        </w:tc>
        <w:tc>
          <w:tcPr>
            <w:tcW w:w="1654" w:type="dxa"/>
            <w:tcMar>
              <w:top w:w="0" w:type="dxa"/>
              <w:left w:w="100" w:type="dxa"/>
              <w:bottom w:w="0" w:type="dxa"/>
              <w:right w:w="100" w:type="dxa"/>
            </w:tcMar>
            <w:vAlign w:val="center"/>
          </w:tcPr>
          <w:p w14:paraId="113AEF19"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2 (5.6)</w:t>
            </w:r>
          </w:p>
        </w:tc>
        <w:tc>
          <w:tcPr>
            <w:tcW w:w="872" w:type="dxa"/>
            <w:vMerge/>
            <w:tcMar>
              <w:top w:w="0" w:type="dxa"/>
              <w:left w:w="100" w:type="dxa"/>
              <w:bottom w:w="0" w:type="dxa"/>
              <w:right w:w="100" w:type="dxa"/>
            </w:tcMar>
            <w:vAlign w:val="center"/>
          </w:tcPr>
          <w:p w14:paraId="113AEF1A" w14:textId="77777777" w:rsidR="004D21C4" w:rsidRPr="00710644" w:rsidRDefault="004D21C4" w:rsidP="004D21C4">
            <w:pPr>
              <w:jc w:val="right"/>
              <w:rPr>
                <w:rFonts w:ascii="Times New Roman" w:hAnsi="Times New Roman" w:cs="Times New Roman"/>
              </w:rPr>
            </w:pPr>
          </w:p>
        </w:tc>
      </w:tr>
      <w:tr w:rsidR="004D21C4" w:rsidRPr="00710644" w14:paraId="113AEF22" w14:textId="77777777" w:rsidTr="004D21C4">
        <w:trPr>
          <w:trHeight w:val="283"/>
        </w:trPr>
        <w:tc>
          <w:tcPr>
            <w:tcW w:w="1631" w:type="dxa"/>
            <w:vMerge w:val="restart"/>
            <w:tcMar>
              <w:top w:w="0" w:type="dxa"/>
              <w:left w:w="100" w:type="dxa"/>
              <w:bottom w:w="0" w:type="dxa"/>
              <w:right w:w="100" w:type="dxa"/>
            </w:tcMar>
            <w:vAlign w:val="center"/>
          </w:tcPr>
          <w:p w14:paraId="113AEF1C"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Analysis</w:t>
            </w:r>
          </w:p>
        </w:tc>
        <w:tc>
          <w:tcPr>
            <w:tcW w:w="2520" w:type="dxa"/>
          </w:tcPr>
          <w:p w14:paraId="113AEF1D" w14:textId="77777777" w:rsidR="004D21C4" w:rsidRPr="00710644" w:rsidRDefault="004D21C4" w:rsidP="004D21C4">
            <w:pPr>
              <w:rPr>
                <w:rFonts w:ascii="Times New Roman" w:hAnsi="Times New Roman" w:cs="Times New Roman"/>
                <w:b/>
                <w:bCs/>
              </w:rPr>
            </w:pPr>
            <w:r>
              <w:rPr>
                <w:rFonts w:ascii="Times New Roman" w:hAnsi="Times New Roman" w:cs="Times New Roman"/>
                <w:b/>
                <w:bCs/>
              </w:rPr>
              <w:t>Segregation</w:t>
            </w:r>
          </w:p>
        </w:tc>
        <w:tc>
          <w:tcPr>
            <w:tcW w:w="1710" w:type="dxa"/>
            <w:tcMar>
              <w:top w:w="0" w:type="dxa"/>
              <w:left w:w="100" w:type="dxa"/>
              <w:bottom w:w="0" w:type="dxa"/>
              <w:right w:w="100" w:type="dxa"/>
            </w:tcMar>
            <w:vAlign w:val="center"/>
          </w:tcPr>
          <w:p w14:paraId="113AEF1E"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81 (95.3)</w:t>
            </w:r>
          </w:p>
        </w:tc>
        <w:tc>
          <w:tcPr>
            <w:tcW w:w="1676" w:type="dxa"/>
            <w:tcMar>
              <w:top w:w="0" w:type="dxa"/>
              <w:left w:w="100" w:type="dxa"/>
              <w:bottom w:w="0" w:type="dxa"/>
              <w:right w:w="100" w:type="dxa"/>
            </w:tcMar>
            <w:vAlign w:val="center"/>
          </w:tcPr>
          <w:p w14:paraId="113AEF1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37 (94.9)</w:t>
            </w:r>
          </w:p>
        </w:tc>
        <w:tc>
          <w:tcPr>
            <w:tcW w:w="1654" w:type="dxa"/>
            <w:tcMar>
              <w:top w:w="0" w:type="dxa"/>
              <w:left w:w="100" w:type="dxa"/>
              <w:bottom w:w="0" w:type="dxa"/>
              <w:right w:w="100" w:type="dxa"/>
            </w:tcMar>
            <w:vAlign w:val="center"/>
          </w:tcPr>
          <w:p w14:paraId="113AEF20"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44 (95.7)</w:t>
            </w:r>
          </w:p>
        </w:tc>
        <w:tc>
          <w:tcPr>
            <w:tcW w:w="872" w:type="dxa"/>
            <w:tcMar>
              <w:top w:w="0" w:type="dxa"/>
              <w:left w:w="100" w:type="dxa"/>
              <w:bottom w:w="0" w:type="dxa"/>
              <w:right w:w="100" w:type="dxa"/>
            </w:tcMar>
            <w:vAlign w:val="center"/>
          </w:tcPr>
          <w:p w14:paraId="113AEF21" w14:textId="77777777" w:rsidR="004D21C4" w:rsidRPr="00710644" w:rsidRDefault="004D21C4" w:rsidP="004D21C4">
            <w:pPr>
              <w:jc w:val="right"/>
              <w:rPr>
                <w:rFonts w:ascii="Times New Roman" w:hAnsi="Times New Roman" w:cs="Times New Roman"/>
              </w:rPr>
            </w:pPr>
          </w:p>
        </w:tc>
      </w:tr>
      <w:tr w:rsidR="004D21C4" w:rsidRPr="00710644" w14:paraId="113AEF29" w14:textId="77777777" w:rsidTr="004D21C4">
        <w:trPr>
          <w:trHeight w:val="283"/>
        </w:trPr>
        <w:tc>
          <w:tcPr>
            <w:tcW w:w="1631" w:type="dxa"/>
            <w:vMerge/>
            <w:tcMar>
              <w:top w:w="0" w:type="dxa"/>
              <w:left w:w="100" w:type="dxa"/>
              <w:bottom w:w="0" w:type="dxa"/>
              <w:right w:w="100" w:type="dxa"/>
            </w:tcMar>
          </w:tcPr>
          <w:p w14:paraId="113AEF23" w14:textId="77777777" w:rsidR="004D21C4" w:rsidRPr="00710644" w:rsidRDefault="004D21C4" w:rsidP="004D21C4">
            <w:pPr>
              <w:rPr>
                <w:rFonts w:ascii="Times New Roman" w:hAnsi="Times New Roman" w:cs="Times New Roman"/>
                <w:b/>
                <w:bCs/>
              </w:rPr>
            </w:pPr>
          </w:p>
        </w:tc>
        <w:tc>
          <w:tcPr>
            <w:tcW w:w="2520" w:type="dxa"/>
          </w:tcPr>
          <w:p w14:paraId="113AEF24"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Protein (mg/dl)</w:t>
            </w:r>
          </w:p>
        </w:tc>
        <w:tc>
          <w:tcPr>
            <w:tcW w:w="1710" w:type="dxa"/>
            <w:tcMar>
              <w:top w:w="0" w:type="dxa"/>
              <w:left w:w="100" w:type="dxa"/>
              <w:bottom w:w="0" w:type="dxa"/>
              <w:right w:w="100" w:type="dxa"/>
            </w:tcMar>
            <w:vAlign w:val="center"/>
          </w:tcPr>
          <w:p w14:paraId="113AEF25"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145 (80 – 232)</w:t>
            </w:r>
          </w:p>
        </w:tc>
        <w:tc>
          <w:tcPr>
            <w:tcW w:w="1676" w:type="dxa"/>
            <w:tcMar>
              <w:top w:w="0" w:type="dxa"/>
              <w:left w:w="100" w:type="dxa"/>
              <w:bottom w:w="0" w:type="dxa"/>
              <w:right w:w="100" w:type="dxa"/>
            </w:tcMar>
            <w:vAlign w:val="center"/>
          </w:tcPr>
          <w:p w14:paraId="113AEF2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165 (111 – 231)</w:t>
            </w:r>
          </w:p>
        </w:tc>
        <w:tc>
          <w:tcPr>
            <w:tcW w:w="1654" w:type="dxa"/>
            <w:tcMar>
              <w:top w:w="0" w:type="dxa"/>
              <w:left w:w="100" w:type="dxa"/>
              <w:bottom w:w="0" w:type="dxa"/>
              <w:right w:w="100" w:type="dxa"/>
            </w:tcMar>
            <w:vAlign w:val="center"/>
          </w:tcPr>
          <w:p w14:paraId="113AEF27"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108 (69 – 230)</w:t>
            </w:r>
          </w:p>
        </w:tc>
        <w:tc>
          <w:tcPr>
            <w:tcW w:w="872" w:type="dxa"/>
            <w:tcMar>
              <w:top w:w="0" w:type="dxa"/>
              <w:left w:w="100" w:type="dxa"/>
              <w:bottom w:w="0" w:type="dxa"/>
              <w:right w:w="100" w:type="dxa"/>
            </w:tcMar>
            <w:vAlign w:val="center"/>
          </w:tcPr>
          <w:p w14:paraId="113AEF2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0.92</w:t>
            </w:r>
          </w:p>
        </w:tc>
      </w:tr>
      <w:tr w:rsidR="004D21C4" w:rsidRPr="00710644" w14:paraId="113AEF30" w14:textId="77777777" w:rsidTr="004D21C4">
        <w:trPr>
          <w:trHeight w:val="283"/>
        </w:trPr>
        <w:tc>
          <w:tcPr>
            <w:tcW w:w="1631" w:type="dxa"/>
            <w:vMerge/>
            <w:tcMar>
              <w:top w:w="0" w:type="dxa"/>
              <w:left w:w="100" w:type="dxa"/>
              <w:bottom w:w="0" w:type="dxa"/>
              <w:right w:w="100" w:type="dxa"/>
            </w:tcMar>
          </w:tcPr>
          <w:p w14:paraId="113AEF2A" w14:textId="77777777" w:rsidR="004D21C4" w:rsidRPr="00710644" w:rsidRDefault="004D21C4" w:rsidP="004D21C4">
            <w:pPr>
              <w:rPr>
                <w:rFonts w:ascii="Times New Roman" w:hAnsi="Times New Roman" w:cs="Times New Roman"/>
                <w:b/>
                <w:bCs/>
              </w:rPr>
            </w:pPr>
          </w:p>
        </w:tc>
        <w:tc>
          <w:tcPr>
            <w:tcW w:w="2520" w:type="dxa"/>
          </w:tcPr>
          <w:p w14:paraId="113AEF2B"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Glucose (mg/dl)</w:t>
            </w:r>
          </w:p>
        </w:tc>
        <w:tc>
          <w:tcPr>
            <w:tcW w:w="1710" w:type="dxa"/>
            <w:tcMar>
              <w:top w:w="0" w:type="dxa"/>
              <w:left w:w="100" w:type="dxa"/>
              <w:bottom w:w="0" w:type="dxa"/>
              <w:right w:w="100" w:type="dxa"/>
            </w:tcMar>
            <w:vAlign w:val="center"/>
          </w:tcPr>
          <w:p w14:paraId="113AEF2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46.5 (20 – 79)</w:t>
            </w:r>
          </w:p>
        </w:tc>
        <w:tc>
          <w:tcPr>
            <w:tcW w:w="1676" w:type="dxa"/>
            <w:tcMar>
              <w:top w:w="0" w:type="dxa"/>
              <w:left w:w="100" w:type="dxa"/>
              <w:bottom w:w="0" w:type="dxa"/>
              <w:right w:w="100" w:type="dxa"/>
            </w:tcMar>
            <w:vAlign w:val="center"/>
          </w:tcPr>
          <w:p w14:paraId="113AEF2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50 (28 – 78)</w:t>
            </w:r>
          </w:p>
        </w:tc>
        <w:tc>
          <w:tcPr>
            <w:tcW w:w="1654" w:type="dxa"/>
            <w:tcMar>
              <w:top w:w="0" w:type="dxa"/>
              <w:left w:w="100" w:type="dxa"/>
              <w:bottom w:w="0" w:type="dxa"/>
              <w:right w:w="100" w:type="dxa"/>
            </w:tcMar>
            <w:vAlign w:val="center"/>
          </w:tcPr>
          <w:p w14:paraId="113AEF2E"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38 (10.5 – 80)</w:t>
            </w:r>
          </w:p>
        </w:tc>
        <w:tc>
          <w:tcPr>
            <w:tcW w:w="872" w:type="dxa"/>
            <w:tcMar>
              <w:top w:w="0" w:type="dxa"/>
              <w:left w:w="100" w:type="dxa"/>
              <w:bottom w:w="0" w:type="dxa"/>
              <w:right w:w="100" w:type="dxa"/>
            </w:tcMar>
            <w:vAlign w:val="center"/>
          </w:tcPr>
          <w:p w14:paraId="113AEF2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0.29</w:t>
            </w:r>
          </w:p>
        </w:tc>
      </w:tr>
      <w:tr w:rsidR="004D21C4" w:rsidRPr="00710644" w14:paraId="113AEF37" w14:textId="77777777" w:rsidTr="004D21C4">
        <w:trPr>
          <w:trHeight w:val="283"/>
        </w:trPr>
        <w:tc>
          <w:tcPr>
            <w:tcW w:w="1631" w:type="dxa"/>
            <w:vMerge/>
            <w:tcMar>
              <w:top w:w="0" w:type="dxa"/>
              <w:left w:w="100" w:type="dxa"/>
              <w:bottom w:w="0" w:type="dxa"/>
              <w:right w:w="100" w:type="dxa"/>
            </w:tcMar>
          </w:tcPr>
          <w:p w14:paraId="113AEF31" w14:textId="77777777" w:rsidR="004D21C4" w:rsidRPr="00710644" w:rsidRDefault="004D21C4" w:rsidP="004D21C4">
            <w:pPr>
              <w:rPr>
                <w:rFonts w:ascii="Times New Roman" w:hAnsi="Times New Roman" w:cs="Times New Roman"/>
                <w:b/>
                <w:bCs/>
              </w:rPr>
            </w:pPr>
          </w:p>
        </w:tc>
        <w:tc>
          <w:tcPr>
            <w:tcW w:w="2520" w:type="dxa"/>
          </w:tcPr>
          <w:p w14:paraId="113AEF32" w14:textId="77777777" w:rsidR="004D21C4" w:rsidRPr="00710644" w:rsidRDefault="0086219D" w:rsidP="004D21C4">
            <w:pPr>
              <w:rPr>
                <w:rFonts w:ascii="Times New Roman" w:hAnsi="Times New Roman" w:cs="Times New Roman"/>
                <w:b/>
                <w:bCs/>
              </w:rPr>
            </w:pPr>
            <w:sdt>
              <w:sdtPr>
                <w:rPr>
                  <w:rFonts w:ascii="Times New Roman" w:hAnsi="Times New Roman" w:cs="Times New Roman"/>
                </w:rPr>
                <w:tag w:val="goog_rdk_11"/>
                <w:id w:val="313922733"/>
              </w:sdtPr>
              <w:sdtEndPr/>
              <w:sdtContent/>
            </w:sdt>
            <w:r w:rsidR="004D21C4" w:rsidRPr="00710644">
              <w:rPr>
                <w:rFonts w:ascii="Times New Roman" w:hAnsi="Times New Roman" w:cs="Times New Roman"/>
                <w:b/>
                <w:bCs/>
              </w:rPr>
              <w:t>CSF WBC (x 10E9/L)</w:t>
            </w:r>
          </w:p>
        </w:tc>
        <w:tc>
          <w:tcPr>
            <w:tcW w:w="1710" w:type="dxa"/>
            <w:tcMar>
              <w:top w:w="0" w:type="dxa"/>
              <w:left w:w="100" w:type="dxa"/>
              <w:bottom w:w="0" w:type="dxa"/>
              <w:right w:w="100" w:type="dxa"/>
            </w:tcMar>
            <w:vAlign w:val="center"/>
          </w:tcPr>
          <w:p w14:paraId="113AEF33" w14:textId="77777777" w:rsidR="004D21C4" w:rsidRPr="004D21C4" w:rsidRDefault="004D21C4" w:rsidP="004D21C4">
            <w:pPr>
              <w:jc w:val="right"/>
              <w:rPr>
                <w:rFonts w:ascii="Times New Roman" w:hAnsi="Times New Roman" w:cs="Times New Roman"/>
                <w:sz w:val="20"/>
              </w:rPr>
            </w:pPr>
            <w:r w:rsidRPr="004D21C4">
              <w:rPr>
                <w:rFonts w:ascii="Times New Roman" w:hAnsi="Times New Roman" w:cs="Times New Roman"/>
                <w:sz w:val="20"/>
              </w:rPr>
              <w:t>0.23 (0.04 – 0.96)</w:t>
            </w:r>
          </w:p>
        </w:tc>
        <w:tc>
          <w:tcPr>
            <w:tcW w:w="1676" w:type="dxa"/>
            <w:tcMar>
              <w:top w:w="0" w:type="dxa"/>
              <w:left w:w="100" w:type="dxa"/>
              <w:bottom w:w="0" w:type="dxa"/>
              <w:right w:w="100" w:type="dxa"/>
            </w:tcMar>
            <w:vAlign w:val="center"/>
          </w:tcPr>
          <w:p w14:paraId="113AEF34" w14:textId="77777777" w:rsidR="004D21C4" w:rsidRPr="004D21C4" w:rsidRDefault="004D21C4" w:rsidP="004D21C4">
            <w:pPr>
              <w:jc w:val="right"/>
              <w:rPr>
                <w:rFonts w:ascii="Times New Roman" w:hAnsi="Times New Roman" w:cs="Times New Roman"/>
                <w:sz w:val="20"/>
              </w:rPr>
            </w:pPr>
            <w:r w:rsidRPr="004D21C4">
              <w:rPr>
                <w:rFonts w:ascii="Times New Roman" w:hAnsi="Times New Roman" w:cs="Times New Roman"/>
                <w:sz w:val="20"/>
              </w:rPr>
              <w:t>0.28 (0.08 – 1.45)</w:t>
            </w:r>
          </w:p>
        </w:tc>
        <w:tc>
          <w:tcPr>
            <w:tcW w:w="1654" w:type="dxa"/>
            <w:tcMar>
              <w:top w:w="0" w:type="dxa"/>
              <w:left w:w="100" w:type="dxa"/>
              <w:bottom w:w="0" w:type="dxa"/>
              <w:right w:w="100" w:type="dxa"/>
            </w:tcMar>
            <w:vAlign w:val="center"/>
          </w:tcPr>
          <w:p w14:paraId="113AEF35" w14:textId="77777777" w:rsidR="004D21C4" w:rsidRPr="004D21C4" w:rsidRDefault="004D21C4" w:rsidP="004D21C4">
            <w:pPr>
              <w:jc w:val="right"/>
              <w:rPr>
                <w:rFonts w:ascii="Times New Roman" w:hAnsi="Times New Roman" w:cs="Times New Roman"/>
                <w:sz w:val="20"/>
              </w:rPr>
            </w:pPr>
            <w:r w:rsidRPr="004D21C4">
              <w:rPr>
                <w:rFonts w:ascii="Times New Roman" w:hAnsi="Times New Roman" w:cs="Times New Roman"/>
                <w:sz w:val="18"/>
              </w:rPr>
              <w:t xml:space="preserve"> 0.20 (0.03 – 0.45)</w:t>
            </w:r>
          </w:p>
        </w:tc>
        <w:tc>
          <w:tcPr>
            <w:tcW w:w="872" w:type="dxa"/>
            <w:tcMar>
              <w:top w:w="0" w:type="dxa"/>
              <w:left w:w="100" w:type="dxa"/>
              <w:bottom w:w="0" w:type="dxa"/>
              <w:right w:w="100" w:type="dxa"/>
            </w:tcMar>
            <w:vAlign w:val="center"/>
          </w:tcPr>
          <w:p w14:paraId="113AEF3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0.62</w:t>
            </w:r>
          </w:p>
        </w:tc>
      </w:tr>
      <w:tr w:rsidR="004D21C4" w:rsidRPr="00710644" w14:paraId="113AEF3E" w14:textId="77777777" w:rsidTr="004D21C4">
        <w:trPr>
          <w:trHeight w:val="283"/>
        </w:trPr>
        <w:tc>
          <w:tcPr>
            <w:tcW w:w="1631" w:type="dxa"/>
            <w:vMerge/>
            <w:tcMar>
              <w:top w:w="0" w:type="dxa"/>
              <w:left w:w="100" w:type="dxa"/>
              <w:bottom w:w="0" w:type="dxa"/>
              <w:right w:w="100" w:type="dxa"/>
            </w:tcMar>
          </w:tcPr>
          <w:p w14:paraId="113AEF38" w14:textId="77777777" w:rsidR="004D21C4" w:rsidRPr="00710644" w:rsidRDefault="004D21C4" w:rsidP="004D21C4">
            <w:pPr>
              <w:rPr>
                <w:rFonts w:ascii="Times New Roman" w:hAnsi="Times New Roman" w:cs="Times New Roman"/>
                <w:b/>
                <w:bCs/>
              </w:rPr>
            </w:pPr>
          </w:p>
        </w:tc>
        <w:tc>
          <w:tcPr>
            <w:tcW w:w="2520" w:type="dxa"/>
          </w:tcPr>
          <w:p w14:paraId="113AEF39"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Neutrophils</w:t>
            </w:r>
          </w:p>
        </w:tc>
        <w:tc>
          <w:tcPr>
            <w:tcW w:w="1710" w:type="dxa"/>
            <w:tcMar>
              <w:top w:w="0" w:type="dxa"/>
              <w:left w:w="100" w:type="dxa"/>
              <w:bottom w:w="0" w:type="dxa"/>
              <w:right w:w="100" w:type="dxa"/>
            </w:tcMar>
            <w:vAlign w:val="center"/>
          </w:tcPr>
          <w:p w14:paraId="113AEF3A"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70 (32 – 80)</w:t>
            </w:r>
          </w:p>
        </w:tc>
        <w:tc>
          <w:tcPr>
            <w:tcW w:w="1676" w:type="dxa"/>
            <w:tcMar>
              <w:top w:w="0" w:type="dxa"/>
              <w:left w:w="100" w:type="dxa"/>
              <w:bottom w:w="0" w:type="dxa"/>
              <w:right w:w="100" w:type="dxa"/>
            </w:tcMar>
            <w:vAlign w:val="center"/>
          </w:tcPr>
          <w:p w14:paraId="113AEF3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65 (32 – 80)</w:t>
            </w:r>
          </w:p>
        </w:tc>
        <w:tc>
          <w:tcPr>
            <w:tcW w:w="1654" w:type="dxa"/>
            <w:tcMar>
              <w:top w:w="0" w:type="dxa"/>
              <w:left w:w="100" w:type="dxa"/>
              <w:bottom w:w="0" w:type="dxa"/>
              <w:right w:w="100" w:type="dxa"/>
            </w:tcMar>
            <w:vAlign w:val="center"/>
          </w:tcPr>
          <w:p w14:paraId="113AEF3C"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70 (40 – 90)</w:t>
            </w:r>
          </w:p>
        </w:tc>
        <w:tc>
          <w:tcPr>
            <w:tcW w:w="872" w:type="dxa"/>
            <w:tcMar>
              <w:top w:w="0" w:type="dxa"/>
              <w:left w:w="100" w:type="dxa"/>
              <w:bottom w:w="0" w:type="dxa"/>
              <w:right w:w="100" w:type="dxa"/>
            </w:tcMar>
            <w:vAlign w:val="center"/>
          </w:tcPr>
          <w:p w14:paraId="113AEF3D"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0.35</w:t>
            </w:r>
          </w:p>
        </w:tc>
      </w:tr>
      <w:tr w:rsidR="004D21C4" w:rsidRPr="00710644" w14:paraId="113AEF45" w14:textId="77777777" w:rsidTr="004D21C4">
        <w:trPr>
          <w:trHeight w:val="283"/>
        </w:trPr>
        <w:tc>
          <w:tcPr>
            <w:tcW w:w="1631" w:type="dxa"/>
            <w:vMerge/>
            <w:tcMar>
              <w:top w:w="0" w:type="dxa"/>
              <w:left w:w="100" w:type="dxa"/>
              <w:bottom w:w="0" w:type="dxa"/>
              <w:right w:w="100" w:type="dxa"/>
            </w:tcMar>
          </w:tcPr>
          <w:p w14:paraId="113AEF3F" w14:textId="77777777" w:rsidR="004D21C4" w:rsidRPr="00710644" w:rsidRDefault="004D21C4" w:rsidP="004D21C4">
            <w:pPr>
              <w:rPr>
                <w:rFonts w:ascii="Times New Roman" w:hAnsi="Times New Roman" w:cs="Times New Roman"/>
                <w:b/>
                <w:bCs/>
              </w:rPr>
            </w:pPr>
          </w:p>
        </w:tc>
        <w:tc>
          <w:tcPr>
            <w:tcW w:w="2520" w:type="dxa"/>
          </w:tcPr>
          <w:p w14:paraId="113AEF40"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CSF Lymphocytes</w:t>
            </w:r>
          </w:p>
        </w:tc>
        <w:tc>
          <w:tcPr>
            <w:tcW w:w="1710" w:type="dxa"/>
            <w:tcMar>
              <w:top w:w="0" w:type="dxa"/>
              <w:left w:w="100" w:type="dxa"/>
              <w:bottom w:w="0" w:type="dxa"/>
              <w:right w:w="100" w:type="dxa"/>
            </w:tcMar>
            <w:vAlign w:val="center"/>
          </w:tcPr>
          <w:p w14:paraId="113AEF41"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30 (15 – 60)</w:t>
            </w:r>
          </w:p>
        </w:tc>
        <w:tc>
          <w:tcPr>
            <w:tcW w:w="1676" w:type="dxa"/>
            <w:tcMar>
              <w:top w:w="0" w:type="dxa"/>
              <w:left w:w="100" w:type="dxa"/>
              <w:bottom w:w="0" w:type="dxa"/>
              <w:right w:w="100" w:type="dxa"/>
            </w:tcMar>
            <w:vAlign w:val="center"/>
          </w:tcPr>
          <w:p w14:paraId="113AEF42"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30 (16 – 60)</w:t>
            </w:r>
          </w:p>
        </w:tc>
        <w:tc>
          <w:tcPr>
            <w:tcW w:w="1654" w:type="dxa"/>
            <w:tcMar>
              <w:top w:w="0" w:type="dxa"/>
              <w:left w:w="100" w:type="dxa"/>
              <w:bottom w:w="0" w:type="dxa"/>
              <w:right w:w="100" w:type="dxa"/>
            </w:tcMar>
            <w:vAlign w:val="center"/>
          </w:tcPr>
          <w:p w14:paraId="113AEF43"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30 (10 – 60)</w:t>
            </w:r>
          </w:p>
        </w:tc>
        <w:tc>
          <w:tcPr>
            <w:tcW w:w="872" w:type="dxa"/>
            <w:tcMar>
              <w:top w:w="0" w:type="dxa"/>
              <w:left w:w="100" w:type="dxa"/>
              <w:bottom w:w="0" w:type="dxa"/>
              <w:right w:w="100" w:type="dxa"/>
            </w:tcMar>
            <w:vAlign w:val="center"/>
          </w:tcPr>
          <w:p w14:paraId="113AEF44"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0.71</w:t>
            </w:r>
          </w:p>
        </w:tc>
      </w:tr>
      <w:tr w:rsidR="004D21C4" w:rsidRPr="00710644" w14:paraId="113AEF4C" w14:textId="77777777" w:rsidTr="004D21C4">
        <w:trPr>
          <w:trHeight w:val="283"/>
        </w:trPr>
        <w:tc>
          <w:tcPr>
            <w:tcW w:w="1631" w:type="dxa"/>
            <w:vMerge/>
            <w:tcMar>
              <w:top w:w="0" w:type="dxa"/>
              <w:left w:w="100" w:type="dxa"/>
              <w:bottom w:w="0" w:type="dxa"/>
              <w:right w:w="100" w:type="dxa"/>
            </w:tcMar>
          </w:tcPr>
          <w:p w14:paraId="113AEF46" w14:textId="77777777" w:rsidR="004D21C4" w:rsidRPr="00710644" w:rsidRDefault="004D21C4" w:rsidP="004D21C4">
            <w:pPr>
              <w:rPr>
                <w:rFonts w:ascii="Times New Roman" w:hAnsi="Times New Roman" w:cs="Times New Roman"/>
                <w:b/>
                <w:bCs/>
              </w:rPr>
            </w:pPr>
          </w:p>
        </w:tc>
        <w:tc>
          <w:tcPr>
            <w:tcW w:w="2520" w:type="dxa"/>
          </w:tcPr>
          <w:p w14:paraId="113AEF47"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 xml:space="preserve">CSF Culture </w:t>
            </w:r>
          </w:p>
        </w:tc>
        <w:tc>
          <w:tcPr>
            <w:tcW w:w="1710" w:type="dxa"/>
            <w:tcMar>
              <w:top w:w="0" w:type="dxa"/>
              <w:left w:w="100" w:type="dxa"/>
              <w:bottom w:w="0" w:type="dxa"/>
              <w:right w:w="100" w:type="dxa"/>
            </w:tcMar>
            <w:vAlign w:val="center"/>
          </w:tcPr>
          <w:p w14:paraId="113AEF4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85 (100.0)</w:t>
            </w:r>
          </w:p>
        </w:tc>
        <w:tc>
          <w:tcPr>
            <w:tcW w:w="1676" w:type="dxa"/>
            <w:tcMar>
              <w:top w:w="0" w:type="dxa"/>
              <w:left w:w="100" w:type="dxa"/>
              <w:bottom w:w="0" w:type="dxa"/>
              <w:right w:w="100" w:type="dxa"/>
            </w:tcMar>
            <w:vAlign w:val="center"/>
          </w:tcPr>
          <w:p w14:paraId="113AEF49"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39 (100.0)</w:t>
            </w:r>
          </w:p>
        </w:tc>
        <w:tc>
          <w:tcPr>
            <w:tcW w:w="1654" w:type="dxa"/>
            <w:tcMar>
              <w:top w:w="0" w:type="dxa"/>
              <w:left w:w="100" w:type="dxa"/>
              <w:bottom w:w="0" w:type="dxa"/>
              <w:right w:w="100" w:type="dxa"/>
            </w:tcMar>
            <w:vAlign w:val="center"/>
          </w:tcPr>
          <w:p w14:paraId="113AEF4A"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46 (100.0)</w:t>
            </w:r>
          </w:p>
        </w:tc>
        <w:tc>
          <w:tcPr>
            <w:tcW w:w="872" w:type="dxa"/>
            <w:tcMar>
              <w:top w:w="0" w:type="dxa"/>
              <w:left w:w="100" w:type="dxa"/>
              <w:bottom w:w="0" w:type="dxa"/>
              <w:right w:w="100" w:type="dxa"/>
            </w:tcMar>
            <w:vAlign w:val="center"/>
          </w:tcPr>
          <w:p w14:paraId="113AEF4B"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w:t>
            </w:r>
          </w:p>
        </w:tc>
      </w:tr>
      <w:tr w:rsidR="004D21C4" w:rsidRPr="00710644" w14:paraId="113AEF53" w14:textId="77777777" w:rsidTr="004D21C4">
        <w:trPr>
          <w:trHeight w:val="283"/>
        </w:trPr>
        <w:tc>
          <w:tcPr>
            <w:tcW w:w="1631" w:type="dxa"/>
            <w:vMerge w:val="restart"/>
            <w:tcMar>
              <w:top w:w="0" w:type="dxa"/>
              <w:left w:w="100" w:type="dxa"/>
              <w:bottom w:w="0" w:type="dxa"/>
              <w:right w:w="100" w:type="dxa"/>
            </w:tcMar>
          </w:tcPr>
          <w:p w14:paraId="113AEF4D" w14:textId="77777777" w:rsidR="004D21C4" w:rsidRPr="00710644" w:rsidRDefault="004D21C4" w:rsidP="004D21C4">
            <w:pPr>
              <w:rPr>
                <w:rFonts w:ascii="Times New Roman" w:hAnsi="Times New Roman" w:cs="Times New Roman"/>
                <w:b/>
                <w:bCs/>
              </w:rPr>
            </w:pPr>
            <w:r>
              <w:rPr>
                <w:rFonts w:ascii="Times New Roman" w:hAnsi="Times New Roman" w:cs="Times New Roman"/>
                <w:b/>
                <w:bCs/>
              </w:rPr>
              <w:t>Culture outcomes</w:t>
            </w:r>
          </w:p>
        </w:tc>
        <w:tc>
          <w:tcPr>
            <w:tcW w:w="2520" w:type="dxa"/>
          </w:tcPr>
          <w:p w14:paraId="113AEF4E" w14:textId="77777777" w:rsidR="004D21C4" w:rsidRPr="00710644" w:rsidRDefault="004D21C4" w:rsidP="004D21C4">
            <w:pPr>
              <w:rPr>
                <w:rFonts w:ascii="Times New Roman" w:hAnsi="Times New Roman" w:cs="Times New Roman"/>
                <w:b/>
                <w:bCs/>
              </w:rPr>
            </w:pPr>
            <w:r>
              <w:rPr>
                <w:rFonts w:ascii="Times New Roman" w:hAnsi="Times New Roman" w:cs="Times New Roman"/>
                <w:b/>
                <w:bCs/>
              </w:rPr>
              <w:t>Bacteria</w:t>
            </w:r>
          </w:p>
        </w:tc>
        <w:tc>
          <w:tcPr>
            <w:tcW w:w="1710" w:type="dxa"/>
            <w:tcMar>
              <w:top w:w="0" w:type="dxa"/>
              <w:left w:w="100" w:type="dxa"/>
              <w:bottom w:w="0" w:type="dxa"/>
              <w:right w:w="100" w:type="dxa"/>
            </w:tcMar>
            <w:vAlign w:val="center"/>
          </w:tcPr>
          <w:p w14:paraId="113AEF4F"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41 (89.1)</w:t>
            </w:r>
          </w:p>
        </w:tc>
        <w:tc>
          <w:tcPr>
            <w:tcW w:w="1676" w:type="dxa"/>
            <w:tcMar>
              <w:top w:w="0" w:type="dxa"/>
              <w:left w:w="100" w:type="dxa"/>
              <w:bottom w:w="0" w:type="dxa"/>
              <w:right w:w="100" w:type="dxa"/>
            </w:tcMar>
            <w:vAlign w:val="center"/>
          </w:tcPr>
          <w:p w14:paraId="113AEF50"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 (0.0)</w:t>
            </w:r>
          </w:p>
        </w:tc>
        <w:tc>
          <w:tcPr>
            <w:tcW w:w="1654" w:type="dxa"/>
            <w:tcMar>
              <w:top w:w="0" w:type="dxa"/>
              <w:left w:w="100" w:type="dxa"/>
              <w:bottom w:w="0" w:type="dxa"/>
              <w:right w:w="100" w:type="dxa"/>
            </w:tcMar>
            <w:vAlign w:val="center"/>
          </w:tcPr>
          <w:p w14:paraId="113AEF51"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41 (89.1)</w:t>
            </w:r>
          </w:p>
        </w:tc>
        <w:tc>
          <w:tcPr>
            <w:tcW w:w="872" w:type="dxa"/>
            <w:vMerge w:val="restart"/>
            <w:tcMar>
              <w:top w:w="0" w:type="dxa"/>
              <w:left w:w="100" w:type="dxa"/>
              <w:bottom w:w="0" w:type="dxa"/>
              <w:right w:w="100" w:type="dxa"/>
            </w:tcMar>
            <w:vAlign w:val="center"/>
          </w:tcPr>
          <w:p w14:paraId="113AEF52" w14:textId="77777777" w:rsidR="004D21C4" w:rsidRPr="00710644" w:rsidRDefault="004D21C4" w:rsidP="004D21C4">
            <w:pPr>
              <w:jc w:val="right"/>
              <w:rPr>
                <w:rFonts w:ascii="Times New Roman" w:hAnsi="Times New Roman" w:cs="Times New Roman"/>
              </w:rPr>
            </w:pPr>
            <w:r>
              <w:rPr>
                <w:rFonts w:ascii="Times New Roman" w:hAnsi="Times New Roman" w:cs="Times New Roman"/>
              </w:rPr>
              <w:t>-</w:t>
            </w:r>
          </w:p>
        </w:tc>
      </w:tr>
      <w:tr w:rsidR="004D21C4" w:rsidRPr="00710644" w14:paraId="113AEF5A" w14:textId="77777777" w:rsidTr="004D21C4">
        <w:trPr>
          <w:trHeight w:val="283"/>
        </w:trPr>
        <w:tc>
          <w:tcPr>
            <w:tcW w:w="1631" w:type="dxa"/>
            <w:vMerge/>
            <w:tcMar>
              <w:top w:w="0" w:type="dxa"/>
              <w:left w:w="100" w:type="dxa"/>
              <w:bottom w:w="0" w:type="dxa"/>
              <w:right w:w="100" w:type="dxa"/>
            </w:tcMar>
          </w:tcPr>
          <w:p w14:paraId="113AEF54" w14:textId="77777777" w:rsidR="004D21C4" w:rsidRPr="00710644" w:rsidRDefault="004D21C4" w:rsidP="004D21C4">
            <w:pPr>
              <w:rPr>
                <w:rFonts w:ascii="Times New Roman" w:hAnsi="Times New Roman" w:cs="Times New Roman"/>
                <w:b/>
                <w:bCs/>
              </w:rPr>
            </w:pPr>
          </w:p>
        </w:tc>
        <w:tc>
          <w:tcPr>
            <w:tcW w:w="2520" w:type="dxa"/>
          </w:tcPr>
          <w:p w14:paraId="113AEF55"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Fungal</w:t>
            </w:r>
          </w:p>
        </w:tc>
        <w:tc>
          <w:tcPr>
            <w:tcW w:w="1710" w:type="dxa"/>
            <w:tcMar>
              <w:top w:w="0" w:type="dxa"/>
              <w:left w:w="100" w:type="dxa"/>
              <w:bottom w:w="0" w:type="dxa"/>
              <w:right w:w="100" w:type="dxa"/>
            </w:tcMar>
            <w:vAlign w:val="center"/>
          </w:tcPr>
          <w:p w14:paraId="113AEF56"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 (10.9)</w:t>
            </w:r>
          </w:p>
        </w:tc>
        <w:tc>
          <w:tcPr>
            <w:tcW w:w="1676" w:type="dxa"/>
            <w:tcMar>
              <w:top w:w="0" w:type="dxa"/>
              <w:left w:w="100" w:type="dxa"/>
              <w:bottom w:w="0" w:type="dxa"/>
              <w:right w:w="100" w:type="dxa"/>
            </w:tcMar>
            <w:vAlign w:val="center"/>
          </w:tcPr>
          <w:p w14:paraId="113AEF57"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0 (0.0)</w:t>
            </w:r>
          </w:p>
        </w:tc>
        <w:tc>
          <w:tcPr>
            <w:tcW w:w="1654" w:type="dxa"/>
            <w:tcMar>
              <w:top w:w="0" w:type="dxa"/>
              <w:left w:w="100" w:type="dxa"/>
              <w:bottom w:w="0" w:type="dxa"/>
              <w:right w:w="100" w:type="dxa"/>
            </w:tcMar>
            <w:vAlign w:val="center"/>
          </w:tcPr>
          <w:p w14:paraId="113AEF58" w14:textId="77777777" w:rsidR="004D21C4" w:rsidRPr="00710644" w:rsidRDefault="004D21C4" w:rsidP="004D21C4">
            <w:pPr>
              <w:jc w:val="right"/>
              <w:rPr>
                <w:rFonts w:ascii="Times New Roman" w:hAnsi="Times New Roman" w:cs="Times New Roman"/>
              </w:rPr>
            </w:pPr>
            <w:r w:rsidRPr="00710644">
              <w:rPr>
                <w:rFonts w:ascii="Times New Roman" w:hAnsi="Times New Roman" w:cs="Times New Roman"/>
              </w:rPr>
              <w:t>5 (10.9)</w:t>
            </w:r>
          </w:p>
        </w:tc>
        <w:tc>
          <w:tcPr>
            <w:tcW w:w="872" w:type="dxa"/>
            <w:vMerge/>
            <w:tcMar>
              <w:top w:w="0" w:type="dxa"/>
              <w:left w:w="100" w:type="dxa"/>
              <w:bottom w:w="0" w:type="dxa"/>
              <w:right w:w="100" w:type="dxa"/>
            </w:tcMar>
            <w:vAlign w:val="center"/>
          </w:tcPr>
          <w:p w14:paraId="113AEF59" w14:textId="77777777" w:rsidR="004D21C4" w:rsidRPr="00710644" w:rsidRDefault="004D21C4" w:rsidP="004D21C4">
            <w:pPr>
              <w:jc w:val="right"/>
              <w:rPr>
                <w:rFonts w:ascii="Times New Roman" w:hAnsi="Times New Roman" w:cs="Times New Roman"/>
              </w:rPr>
            </w:pPr>
          </w:p>
        </w:tc>
      </w:tr>
    </w:tbl>
    <w:p w14:paraId="113AEF5B" w14:textId="77777777" w:rsidR="00D21CDF" w:rsidRPr="00710644" w:rsidRDefault="004D21C4" w:rsidP="00710644">
      <w:pPr>
        <w:jc w:val="both"/>
        <w:rPr>
          <w:rFonts w:ascii="Times New Roman" w:hAnsi="Times New Roman" w:cs="Times New Roman"/>
        </w:rPr>
      </w:pPr>
      <w:r w:rsidRPr="00C06E4E">
        <w:rPr>
          <w:rFonts w:ascii="Times New Roman" w:hAnsi="Times New Roman" w:cs="Times New Roman"/>
          <w:b/>
          <w:sz w:val="18"/>
        </w:rPr>
        <w:t>SD: standard deviation; IQR: interquartile range; SOL: space occupying lesion; EVD: extra-ventricular drain; VP: ventriculoperitoneal; CSF: cerebrospinal fluid; GCS: Glassgow coma scale; TLC: total leukocyte count; CRP: C-reactive protein; WBC: white blood cells</w:t>
      </w:r>
    </w:p>
    <w:p w14:paraId="113AEF5C" w14:textId="77777777" w:rsidR="004D21C4" w:rsidRDefault="004D21C4" w:rsidP="00710644">
      <w:pPr>
        <w:jc w:val="both"/>
        <w:rPr>
          <w:rFonts w:ascii="Times New Roman" w:hAnsi="Times New Roman" w:cs="Times New Roman"/>
        </w:rPr>
      </w:pPr>
    </w:p>
    <w:p w14:paraId="113AEF5D"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Fever was the most common presenting symptom,</w:t>
      </w:r>
      <w:r w:rsidRPr="00710644">
        <w:rPr>
          <w:rFonts w:ascii="Times New Roman" w:hAnsi="Times New Roman" w:cs="Times New Roman"/>
          <w:lang w:val="en-US"/>
        </w:rPr>
        <w:t xml:space="preserve"> </w:t>
      </w:r>
      <w:r w:rsidRPr="00710644">
        <w:rPr>
          <w:rFonts w:ascii="Times New Roman" w:hAnsi="Times New Roman" w:cs="Times New Roman"/>
        </w:rPr>
        <w:t xml:space="preserve">reported in 76.1% of cases and 66.7% of controls. Other clinical features, including headache, seizures, low Glasgow Coma Scale (GCS), and CSF leak, were comparable between the two groups, with no statistically </w:t>
      </w:r>
      <w:r w:rsidR="004D21C4">
        <w:rPr>
          <w:rFonts w:ascii="Times New Roman" w:hAnsi="Times New Roman" w:cs="Times New Roman"/>
        </w:rPr>
        <w:t>significant differences. Table 2</w:t>
      </w:r>
    </w:p>
    <w:p w14:paraId="113AEF5E"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Blood cultures were performed in 66 patients. Among these, positive growth was identified in 4 (13.3%) controls and 2 (5.6%) cases, with no statistically significant difference (p = 0.39).</w:t>
      </w:r>
    </w:p>
    <w:p w14:paraId="113AEF5F"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 xml:space="preserve">CSF analysis was available for 81 (95.3%) patients. There were no significant differences between the two groups in CSF protein, glucose, white blood cell count, neutrophil predominance, or lymphocyte count. </w:t>
      </w:r>
      <w:r w:rsidRPr="00710644">
        <w:rPr>
          <w:rFonts w:ascii="Times New Roman" w:hAnsi="Times New Roman" w:cs="Times New Roman"/>
        </w:rPr>
        <w:lastRenderedPageBreak/>
        <w:t xml:space="preserve">Among the 46 culture-positive cases, bacterial pathogens accounted for the majority of isolates (89.1%, n = 41), while fungal pathogens constituted 10.9% (n = 5). Multidrug-resistant (MDR) </w:t>
      </w:r>
      <w:r w:rsidRPr="00710644">
        <w:rPr>
          <w:rFonts w:ascii="Times New Roman" w:hAnsi="Times New Roman" w:cs="Times New Roman"/>
          <w:i/>
          <w:iCs/>
        </w:rPr>
        <w:t>Acinetobacter baumannii</w:t>
      </w:r>
      <w:r w:rsidRPr="00710644">
        <w:rPr>
          <w:rFonts w:ascii="Times New Roman" w:hAnsi="Times New Roman" w:cs="Times New Roman"/>
        </w:rPr>
        <w:t xml:space="preserve"> was the most frequently isolated organism, identified in 35.6% of cases. Among culture-positive isolates, colistin demonstrated the highest sensitivity (37.9%), followed by amikacin (28.3%) for </w:t>
      </w:r>
      <w:r w:rsidRPr="00710644">
        <w:rPr>
          <w:rFonts w:ascii="Times New Roman" w:hAnsi="Times New Roman" w:cs="Times New Roman"/>
          <w:i/>
          <w:iCs/>
        </w:rPr>
        <w:t>Acinetobacter</w:t>
      </w:r>
      <w:r w:rsidRPr="00710644">
        <w:rPr>
          <w:rFonts w:ascii="Times New Roman" w:hAnsi="Times New Roman" w:cs="Times New Roman"/>
        </w:rPr>
        <w:t>. Overall susceptibility to other antibiotics was low, reflecting a high burden of multidrug-resistant organisms. Figure 2</w:t>
      </w:r>
    </w:p>
    <w:p w14:paraId="113AEF60" w14:textId="77777777" w:rsidR="001B7F87" w:rsidRPr="00710644" w:rsidRDefault="00710644" w:rsidP="00710644">
      <w:pPr>
        <w:jc w:val="both"/>
        <w:rPr>
          <w:rFonts w:ascii="Times New Roman" w:hAnsi="Times New Roman" w:cs="Times New Roman"/>
        </w:rPr>
      </w:pPr>
      <w:r w:rsidRPr="00710644">
        <w:rPr>
          <w:rFonts w:ascii="Times New Roman" w:hAnsi="Times New Roman" w:cs="Times New Roman"/>
        </w:rPr>
        <w:t>All patients received intravenous antibiotics. Adjunctive therapies were more frequently used in culture-positive patients, with 16 (34.8%) receiving intrathecal antibiotics and 6</w:t>
      </w:r>
      <w:r w:rsidRPr="00710644">
        <w:rPr>
          <w:rFonts w:ascii="Times New Roman" w:hAnsi="Times New Roman" w:cs="Times New Roman"/>
          <w:lang w:val="en-US"/>
        </w:rPr>
        <w:t xml:space="preserve"> </w:t>
      </w:r>
      <w:r w:rsidRPr="00710644">
        <w:rPr>
          <w:rFonts w:ascii="Times New Roman" w:hAnsi="Times New Roman" w:cs="Times New Roman"/>
        </w:rPr>
        <w:t>(13.0%) receiving oral therapy, both of which were statistically significant compared to controls (p &lt; 0.05).</w:t>
      </w:r>
    </w:p>
    <w:p w14:paraId="113AEF61" w14:textId="77777777" w:rsidR="001B7F87" w:rsidRDefault="00710644" w:rsidP="00710644">
      <w:pPr>
        <w:jc w:val="both"/>
        <w:rPr>
          <w:rFonts w:ascii="Times New Roman" w:hAnsi="Times New Roman" w:cs="Times New Roman"/>
        </w:rPr>
      </w:pPr>
      <w:r w:rsidRPr="00710644">
        <w:rPr>
          <w:rFonts w:ascii="Times New Roman" w:hAnsi="Times New Roman" w:cs="Times New Roman"/>
        </w:rPr>
        <w:t xml:space="preserve">The overall mortality rate was 20% (n = 17). Mortality was higher among culture-positive cases compared to controls (28.3% vs. 10.3%), with borderline statistical significance (p = 0.05). The length of hospital stay was significantly longer in the culture-positive group, with a median duration of 23 days (IQR: 12–35.5) compared to 11 days (IQR: 6.0–19.0) in the control group (p &lt; 0.001). Table 1 shows the detailed comparison of demographic features, signs and symptoms, laboratory parameters, treatment and outcomes of patients between the two groups. </w:t>
      </w:r>
    </w:p>
    <w:p w14:paraId="113AEF62" w14:textId="77777777" w:rsidR="004D21C4" w:rsidRPr="00710644" w:rsidRDefault="00BE13EB" w:rsidP="00710644">
      <w:pPr>
        <w:jc w:val="both"/>
        <w:rPr>
          <w:rFonts w:ascii="Times New Roman" w:hAnsi="Times New Roman" w:cs="Times New Roman"/>
        </w:rPr>
      </w:pPr>
      <w:r>
        <w:rPr>
          <w:rFonts w:ascii="Times New Roman" w:hAnsi="Times New Roman" w:cs="Times New Roman"/>
          <w:b/>
          <w:bCs/>
        </w:rPr>
        <w:t>Table 3</w:t>
      </w:r>
      <w:r w:rsidR="004D21C4" w:rsidRPr="00710644">
        <w:rPr>
          <w:rFonts w:ascii="Times New Roman" w:hAnsi="Times New Roman" w:cs="Times New Roman"/>
          <w:b/>
          <w:bCs/>
        </w:rPr>
        <w:t>: Comparison of therapy and outcomes between case-control groups</w:t>
      </w:r>
    </w:p>
    <w:tbl>
      <w:tblPr>
        <w:tblStyle w:val="2"/>
        <w:tblW w:w="93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2250"/>
        <w:gridCol w:w="1710"/>
        <w:gridCol w:w="1620"/>
        <w:gridCol w:w="1530"/>
        <w:gridCol w:w="981"/>
      </w:tblGrid>
      <w:tr w:rsidR="004D21C4" w:rsidRPr="00710644" w14:paraId="113AEF68" w14:textId="77777777" w:rsidTr="004D21C4">
        <w:trPr>
          <w:trHeight w:val="255"/>
        </w:trPr>
        <w:tc>
          <w:tcPr>
            <w:tcW w:w="3518" w:type="dxa"/>
            <w:gridSpan w:val="2"/>
            <w:vMerge w:val="restart"/>
            <w:tcMar>
              <w:top w:w="0" w:type="dxa"/>
              <w:left w:w="100" w:type="dxa"/>
              <w:bottom w:w="0" w:type="dxa"/>
              <w:right w:w="100" w:type="dxa"/>
            </w:tcMar>
            <w:vAlign w:val="center"/>
          </w:tcPr>
          <w:p w14:paraId="113AEF63"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Variables</w:t>
            </w:r>
          </w:p>
        </w:tc>
        <w:tc>
          <w:tcPr>
            <w:tcW w:w="1710" w:type="dxa"/>
            <w:vMerge w:val="restart"/>
            <w:tcMar>
              <w:top w:w="0" w:type="dxa"/>
              <w:left w:w="100" w:type="dxa"/>
              <w:bottom w:w="0" w:type="dxa"/>
              <w:right w:w="100" w:type="dxa"/>
            </w:tcMar>
            <w:vAlign w:val="center"/>
          </w:tcPr>
          <w:p w14:paraId="113AEF64"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Overall</w:t>
            </w:r>
          </w:p>
          <w:p w14:paraId="113AEF65"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85</w:t>
            </w:r>
          </w:p>
        </w:tc>
        <w:tc>
          <w:tcPr>
            <w:tcW w:w="3150" w:type="dxa"/>
            <w:gridSpan w:val="2"/>
            <w:tcMar>
              <w:top w:w="0" w:type="dxa"/>
              <w:left w:w="100" w:type="dxa"/>
              <w:bottom w:w="0" w:type="dxa"/>
              <w:right w:w="100" w:type="dxa"/>
            </w:tcMar>
            <w:vAlign w:val="center"/>
          </w:tcPr>
          <w:p w14:paraId="113AEF66"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Nosocomial culture</w:t>
            </w:r>
          </w:p>
        </w:tc>
        <w:tc>
          <w:tcPr>
            <w:tcW w:w="981" w:type="dxa"/>
            <w:vMerge w:val="restart"/>
            <w:tcMar>
              <w:top w:w="0" w:type="dxa"/>
              <w:left w:w="100" w:type="dxa"/>
              <w:bottom w:w="0" w:type="dxa"/>
              <w:right w:w="100" w:type="dxa"/>
            </w:tcMar>
            <w:vAlign w:val="center"/>
          </w:tcPr>
          <w:p w14:paraId="113AEF67"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p-value</w:t>
            </w:r>
          </w:p>
        </w:tc>
      </w:tr>
      <w:tr w:rsidR="004D21C4" w:rsidRPr="00710644" w14:paraId="113AEF72" w14:textId="77777777" w:rsidTr="0008165F">
        <w:trPr>
          <w:trHeight w:val="735"/>
        </w:trPr>
        <w:tc>
          <w:tcPr>
            <w:tcW w:w="3518" w:type="dxa"/>
            <w:gridSpan w:val="2"/>
            <w:vMerge/>
            <w:tcMar>
              <w:top w:w="0" w:type="dxa"/>
              <w:left w:w="100" w:type="dxa"/>
              <w:bottom w:w="0" w:type="dxa"/>
              <w:right w:w="100" w:type="dxa"/>
            </w:tcMar>
            <w:vAlign w:val="center"/>
          </w:tcPr>
          <w:p w14:paraId="113AEF69" w14:textId="77777777" w:rsidR="004D21C4" w:rsidRPr="00710644" w:rsidRDefault="004D21C4" w:rsidP="004D21C4">
            <w:pPr>
              <w:widowControl w:val="0"/>
              <w:rPr>
                <w:rFonts w:ascii="Times New Roman" w:hAnsi="Times New Roman" w:cs="Times New Roman"/>
                <w:b/>
                <w:bCs/>
              </w:rPr>
            </w:pPr>
          </w:p>
        </w:tc>
        <w:tc>
          <w:tcPr>
            <w:tcW w:w="1710" w:type="dxa"/>
            <w:vMerge/>
            <w:tcMar>
              <w:top w:w="0" w:type="dxa"/>
              <w:left w:w="100" w:type="dxa"/>
              <w:bottom w:w="0" w:type="dxa"/>
              <w:right w:w="100" w:type="dxa"/>
            </w:tcMar>
            <w:vAlign w:val="center"/>
          </w:tcPr>
          <w:p w14:paraId="113AEF6A" w14:textId="77777777" w:rsidR="004D21C4" w:rsidRPr="00710644" w:rsidRDefault="004D21C4" w:rsidP="004D21C4">
            <w:pPr>
              <w:widowControl w:val="0"/>
              <w:rPr>
                <w:rFonts w:ascii="Times New Roman" w:hAnsi="Times New Roman" w:cs="Times New Roman"/>
                <w:b/>
                <w:bCs/>
              </w:rPr>
            </w:pPr>
          </w:p>
        </w:tc>
        <w:tc>
          <w:tcPr>
            <w:tcW w:w="1620" w:type="dxa"/>
            <w:tcMar>
              <w:top w:w="0" w:type="dxa"/>
              <w:left w:w="100" w:type="dxa"/>
              <w:bottom w:w="0" w:type="dxa"/>
              <w:right w:w="100" w:type="dxa"/>
            </w:tcMar>
            <w:vAlign w:val="center"/>
          </w:tcPr>
          <w:p w14:paraId="113AEF6B"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Negative</w:t>
            </w:r>
          </w:p>
          <w:p w14:paraId="113AEF6C"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(Control)</w:t>
            </w:r>
          </w:p>
          <w:p w14:paraId="113AEF6D"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39</w:t>
            </w:r>
          </w:p>
        </w:tc>
        <w:tc>
          <w:tcPr>
            <w:tcW w:w="1530" w:type="dxa"/>
            <w:tcMar>
              <w:top w:w="0" w:type="dxa"/>
              <w:left w:w="100" w:type="dxa"/>
              <w:bottom w:w="0" w:type="dxa"/>
              <w:right w:w="100" w:type="dxa"/>
            </w:tcMar>
            <w:vAlign w:val="center"/>
          </w:tcPr>
          <w:p w14:paraId="113AEF6E"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Positive</w:t>
            </w:r>
          </w:p>
          <w:p w14:paraId="113AEF6F" w14:textId="77777777" w:rsidR="004D21C4" w:rsidRPr="00710644" w:rsidRDefault="004D21C4" w:rsidP="004D21C4">
            <w:pPr>
              <w:jc w:val="center"/>
              <w:rPr>
                <w:rFonts w:ascii="Times New Roman" w:hAnsi="Times New Roman" w:cs="Times New Roman"/>
                <w:b/>
                <w:bCs/>
              </w:rPr>
            </w:pPr>
            <w:r w:rsidRPr="00710644">
              <w:rPr>
                <w:rFonts w:ascii="Times New Roman" w:hAnsi="Times New Roman" w:cs="Times New Roman"/>
                <w:b/>
                <w:bCs/>
              </w:rPr>
              <w:t>(Case)</w:t>
            </w:r>
          </w:p>
          <w:p w14:paraId="113AEF70" w14:textId="77777777" w:rsidR="004D21C4" w:rsidRPr="00710644" w:rsidRDefault="004D21C4" w:rsidP="004D21C4">
            <w:pPr>
              <w:jc w:val="center"/>
              <w:rPr>
                <w:rFonts w:ascii="Times New Roman" w:hAnsi="Times New Roman" w:cs="Times New Roman"/>
                <w:b/>
                <w:bCs/>
              </w:rPr>
            </w:pPr>
            <w:r>
              <w:rPr>
                <w:rFonts w:ascii="Times New Roman" w:hAnsi="Times New Roman" w:cs="Times New Roman"/>
                <w:b/>
                <w:bCs/>
              </w:rPr>
              <w:t>N =</w:t>
            </w:r>
            <w:r w:rsidRPr="00710644">
              <w:rPr>
                <w:rFonts w:ascii="Times New Roman" w:hAnsi="Times New Roman" w:cs="Times New Roman"/>
                <w:b/>
                <w:bCs/>
              </w:rPr>
              <w:t xml:space="preserve"> 46</w:t>
            </w:r>
          </w:p>
        </w:tc>
        <w:tc>
          <w:tcPr>
            <w:tcW w:w="981" w:type="dxa"/>
            <w:vMerge/>
            <w:tcMar>
              <w:top w:w="0" w:type="dxa"/>
              <w:left w:w="100" w:type="dxa"/>
              <w:bottom w:w="0" w:type="dxa"/>
              <w:right w:w="100" w:type="dxa"/>
            </w:tcMar>
          </w:tcPr>
          <w:p w14:paraId="113AEF71" w14:textId="77777777" w:rsidR="004D21C4" w:rsidRPr="00710644" w:rsidRDefault="004D21C4" w:rsidP="004D21C4">
            <w:pPr>
              <w:widowControl w:val="0"/>
              <w:rPr>
                <w:rFonts w:ascii="Times New Roman" w:hAnsi="Times New Roman" w:cs="Times New Roman"/>
                <w:b/>
                <w:bCs/>
              </w:rPr>
            </w:pPr>
          </w:p>
        </w:tc>
      </w:tr>
      <w:tr w:rsidR="004D21C4" w:rsidRPr="00710644" w14:paraId="113AEF79" w14:textId="77777777" w:rsidTr="00FF04E1">
        <w:trPr>
          <w:trHeight w:val="285"/>
        </w:trPr>
        <w:tc>
          <w:tcPr>
            <w:tcW w:w="1268" w:type="dxa"/>
            <w:vMerge w:val="restart"/>
            <w:tcMar>
              <w:top w:w="0" w:type="dxa"/>
              <w:left w:w="100" w:type="dxa"/>
              <w:bottom w:w="0" w:type="dxa"/>
              <w:right w:w="100" w:type="dxa"/>
            </w:tcMar>
          </w:tcPr>
          <w:p w14:paraId="113AEF73"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Route of therapy</w:t>
            </w:r>
          </w:p>
        </w:tc>
        <w:tc>
          <w:tcPr>
            <w:tcW w:w="2250" w:type="dxa"/>
          </w:tcPr>
          <w:p w14:paraId="113AEF74"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Intravenous</w:t>
            </w:r>
          </w:p>
        </w:tc>
        <w:tc>
          <w:tcPr>
            <w:tcW w:w="1710" w:type="dxa"/>
            <w:tcMar>
              <w:top w:w="0" w:type="dxa"/>
              <w:left w:w="100" w:type="dxa"/>
              <w:bottom w:w="0" w:type="dxa"/>
              <w:right w:w="100" w:type="dxa"/>
            </w:tcMar>
            <w:vAlign w:val="center"/>
          </w:tcPr>
          <w:p w14:paraId="113AEF75"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85 (100.0)</w:t>
            </w:r>
          </w:p>
        </w:tc>
        <w:tc>
          <w:tcPr>
            <w:tcW w:w="1620" w:type="dxa"/>
            <w:tcMar>
              <w:top w:w="0" w:type="dxa"/>
              <w:left w:w="100" w:type="dxa"/>
              <w:bottom w:w="0" w:type="dxa"/>
              <w:right w:w="100" w:type="dxa"/>
            </w:tcMar>
            <w:vAlign w:val="center"/>
          </w:tcPr>
          <w:p w14:paraId="113AEF76"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39 (100.0)</w:t>
            </w:r>
          </w:p>
        </w:tc>
        <w:tc>
          <w:tcPr>
            <w:tcW w:w="1530" w:type="dxa"/>
            <w:tcMar>
              <w:top w:w="0" w:type="dxa"/>
              <w:left w:w="100" w:type="dxa"/>
              <w:bottom w:w="0" w:type="dxa"/>
              <w:right w:w="100" w:type="dxa"/>
            </w:tcMar>
            <w:vAlign w:val="center"/>
          </w:tcPr>
          <w:p w14:paraId="113AEF77"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46 (100.0)</w:t>
            </w:r>
          </w:p>
        </w:tc>
        <w:tc>
          <w:tcPr>
            <w:tcW w:w="981" w:type="dxa"/>
            <w:tcMar>
              <w:top w:w="0" w:type="dxa"/>
              <w:left w:w="100" w:type="dxa"/>
              <w:bottom w:w="0" w:type="dxa"/>
              <w:right w:w="100" w:type="dxa"/>
            </w:tcMar>
            <w:vAlign w:val="center"/>
          </w:tcPr>
          <w:p w14:paraId="113AEF78"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w:t>
            </w:r>
          </w:p>
        </w:tc>
      </w:tr>
      <w:tr w:rsidR="004D21C4" w:rsidRPr="00710644" w14:paraId="113AEF80" w14:textId="77777777" w:rsidTr="00FF04E1">
        <w:trPr>
          <w:trHeight w:val="285"/>
        </w:trPr>
        <w:tc>
          <w:tcPr>
            <w:tcW w:w="1268" w:type="dxa"/>
            <w:vMerge/>
            <w:tcMar>
              <w:top w:w="0" w:type="dxa"/>
              <w:left w:w="100" w:type="dxa"/>
              <w:bottom w:w="0" w:type="dxa"/>
              <w:right w:w="100" w:type="dxa"/>
            </w:tcMar>
          </w:tcPr>
          <w:p w14:paraId="113AEF7A" w14:textId="77777777" w:rsidR="004D21C4" w:rsidRPr="00710644" w:rsidRDefault="004D21C4" w:rsidP="004D21C4">
            <w:pPr>
              <w:rPr>
                <w:rFonts w:ascii="Times New Roman" w:hAnsi="Times New Roman" w:cs="Times New Roman"/>
                <w:b/>
                <w:bCs/>
              </w:rPr>
            </w:pPr>
          </w:p>
        </w:tc>
        <w:tc>
          <w:tcPr>
            <w:tcW w:w="2250" w:type="dxa"/>
          </w:tcPr>
          <w:p w14:paraId="113AEF7B"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Intrathecal</w:t>
            </w:r>
          </w:p>
        </w:tc>
        <w:tc>
          <w:tcPr>
            <w:tcW w:w="1710" w:type="dxa"/>
            <w:tcMar>
              <w:top w:w="0" w:type="dxa"/>
              <w:left w:w="100" w:type="dxa"/>
              <w:bottom w:w="0" w:type="dxa"/>
              <w:right w:w="100" w:type="dxa"/>
            </w:tcMar>
            <w:vAlign w:val="center"/>
          </w:tcPr>
          <w:p w14:paraId="113AEF7C"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16 (18.8)</w:t>
            </w:r>
          </w:p>
        </w:tc>
        <w:tc>
          <w:tcPr>
            <w:tcW w:w="1620" w:type="dxa"/>
            <w:tcMar>
              <w:top w:w="0" w:type="dxa"/>
              <w:left w:w="100" w:type="dxa"/>
              <w:bottom w:w="0" w:type="dxa"/>
              <w:right w:w="100" w:type="dxa"/>
            </w:tcMar>
            <w:vAlign w:val="center"/>
          </w:tcPr>
          <w:p w14:paraId="113AEF7D"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 (0.0)</w:t>
            </w:r>
          </w:p>
        </w:tc>
        <w:tc>
          <w:tcPr>
            <w:tcW w:w="1530" w:type="dxa"/>
            <w:tcMar>
              <w:top w:w="0" w:type="dxa"/>
              <w:left w:w="100" w:type="dxa"/>
              <w:bottom w:w="0" w:type="dxa"/>
              <w:right w:w="100" w:type="dxa"/>
            </w:tcMar>
            <w:vAlign w:val="center"/>
          </w:tcPr>
          <w:p w14:paraId="113AEF7E"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16 (34.8)</w:t>
            </w:r>
          </w:p>
        </w:tc>
        <w:tc>
          <w:tcPr>
            <w:tcW w:w="981" w:type="dxa"/>
            <w:tcMar>
              <w:top w:w="0" w:type="dxa"/>
              <w:left w:w="100" w:type="dxa"/>
              <w:bottom w:w="0" w:type="dxa"/>
              <w:right w:w="100" w:type="dxa"/>
            </w:tcMar>
            <w:vAlign w:val="center"/>
          </w:tcPr>
          <w:p w14:paraId="113AEF7F"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&lt;0.001</w:t>
            </w:r>
          </w:p>
        </w:tc>
      </w:tr>
      <w:tr w:rsidR="004D21C4" w:rsidRPr="00710644" w14:paraId="113AEF87" w14:textId="77777777" w:rsidTr="00FF04E1">
        <w:trPr>
          <w:trHeight w:val="285"/>
        </w:trPr>
        <w:tc>
          <w:tcPr>
            <w:tcW w:w="1268" w:type="dxa"/>
            <w:vMerge/>
            <w:tcMar>
              <w:top w:w="0" w:type="dxa"/>
              <w:left w:w="100" w:type="dxa"/>
              <w:bottom w:w="0" w:type="dxa"/>
              <w:right w:w="100" w:type="dxa"/>
            </w:tcMar>
          </w:tcPr>
          <w:p w14:paraId="113AEF81" w14:textId="77777777" w:rsidR="004D21C4" w:rsidRPr="00710644" w:rsidRDefault="004D21C4" w:rsidP="004D21C4">
            <w:pPr>
              <w:rPr>
                <w:rFonts w:ascii="Times New Roman" w:hAnsi="Times New Roman" w:cs="Times New Roman"/>
                <w:b/>
                <w:bCs/>
              </w:rPr>
            </w:pPr>
          </w:p>
        </w:tc>
        <w:tc>
          <w:tcPr>
            <w:tcW w:w="2250" w:type="dxa"/>
          </w:tcPr>
          <w:p w14:paraId="113AEF82"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Oral</w:t>
            </w:r>
          </w:p>
        </w:tc>
        <w:tc>
          <w:tcPr>
            <w:tcW w:w="1710" w:type="dxa"/>
            <w:tcMar>
              <w:top w:w="0" w:type="dxa"/>
              <w:left w:w="100" w:type="dxa"/>
              <w:bottom w:w="0" w:type="dxa"/>
              <w:right w:w="100" w:type="dxa"/>
            </w:tcMar>
            <w:vAlign w:val="center"/>
          </w:tcPr>
          <w:p w14:paraId="113AEF83"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6 (7.1)</w:t>
            </w:r>
          </w:p>
        </w:tc>
        <w:tc>
          <w:tcPr>
            <w:tcW w:w="1620" w:type="dxa"/>
            <w:tcMar>
              <w:top w:w="0" w:type="dxa"/>
              <w:left w:w="100" w:type="dxa"/>
              <w:bottom w:w="0" w:type="dxa"/>
              <w:right w:w="100" w:type="dxa"/>
            </w:tcMar>
            <w:vAlign w:val="center"/>
          </w:tcPr>
          <w:p w14:paraId="113AEF84"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 (0.0)</w:t>
            </w:r>
          </w:p>
        </w:tc>
        <w:tc>
          <w:tcPr>
            <w:tcW w:w="1530" w:type="dxa"/>
            <w:tcMar>
              <w:top w:w="0" w:type="dxa"/>
              <w:left w:w="100" w:type="dxa"/>
              <w:bottom w:w="0" w:type="dxa"/>
              <w:right w:w="100" w:type="dxa"/>
            </w:tcMar>
            <w:vAlign w:val="center"/>
          </w:tcPr>
          <w:p w14:paraId="113AEF85"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6 (13.0)</w:t>
            </w:r>
          </w:p>
        </w:tc>
        <w:tc>
          <w:tcPr>
            <w:tcW w:w="981" w:type="dxa"/>
            <w:tcMar>
              <w:top w:w="0" w:type="dxa"/>
              <w:left w:w="100" w:type="dxa"/>
              <w:bottom w:w="0" w:type="dxa"/>
              <w:right w:w="100" w:type="dxa"/>
            </w:tcMar>
            <w:vAlign w:val="center"/>
          </w:tcPr>
          <w:p w14:paraId="113AEF86"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0.03</w:t>
            </w:r>
          </w:p>
        </w:tc>
      </w:tr>
      <w:tr w:rsidR="004D21C4" w:rsidRPr="00710644" w14:paraId="113AEF8E" w14:textId="77777777" w:rsidTr="00FF04E1">
        <w:trPr>
          <w:trHeight w:val="285"/>
        </w:trPr>
        <w:tc>
          <w:tcPr>
            <w:tcW w:w="1268" w:type="dxa"/>
            <w:vMerge w:val="restart"/>
            <w:tcMar>
              <w:top w:w="0" w:type="dxa"/>
              <w:left w:w="100" w:type="dxa"/>
              <w:bottom w:w="0" w:type="dxa"/>
              <w:right w:w="100" w:type="dxa"/>
            </w:tcMar>
          </w:tcPr>
          <w:p w14:paraId="113AEF88"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Outcome</w:t>
            </w:r>
            <w:r>
              <w:rPr>
                <w:rFonts w:ascii="Times New Roman" w:hAnsi="Times New Roman" w:cs="Times New Roman"/>
                <w:b/>
                <w:bCs/>
              </w:rPr>
              <w:t>s</w:t>
            </w:r>
          </w:p>
        </w:tc>
        <w:tc>
          <w:tcPr>
            <w:tcW w:w="2250" w:type="dxa"/>
          </w:tcPr>
          <w:p w14:paraId="113AEF89"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Treatment successful</w:t>
            </w:r>
          </w:p>
        </w:tc>
        <w:tc>
          <w:tcPr>
            <w:tcW w:w="1710" w:type="dxa"/>
            <w:tcMar>
              <w:top w:w="0" w:type="dxa"/>
              <w:left w:w="100" w:type="dxa"/>
              <w:bottom w:w="0" w:type="dxa"/>
              <w:right w:w="100" w:type="dxa"/>
            </w:tcMar>
            <w:vAlign w:val="center"/>
          </w:tcPr>
          <w:p w14:paraId="113AEF8A"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65 (76.5)</w:t>
            </w:r>
          </w:p>
        </w:tc>
        <w:tc>
          <w:tcPr>
            <w:tcW w:w="1620" w:type="dxa"/>
            <w:tcMar>
              <w:top w:w="0" w:type="dxa"/>
              <w:left w:w="100" w:type="dxa"/>
              <w:bottom w:w="0" w:type="dxa"/>
              <w:right w:w="100" w:type="dxa"/>
            </w:tcMar>
            <w:vAlign w:val="center"/>
          </w:tcPr>
          <w:p w14:paraId="113AEF8B"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31 (79.5)</w:t>
            </w:r>
          </w:p>
        </w:tc>
        <w:tc>
          <w:tcPr>
            <w:tcW w:w="1530" w:type="dxa"/>
            <w:tcMar>
              <w:top w:w="0" w:type="dxa"/>
              <w:left w:w="100" w:type="dxa"/>
              <w:bottom w:w="0" w:type="dxa"/>
              <w:right w:w="100" w:type="dxa"/>
            </w:tcMar>
            <w:vAlign w:val="center"/>
          </w:tcPr>
          <w:p w14:paraId="113AEF8C"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34 (73.9)</w:t>
            </w:r>
          </w:p>
        </w:tc>
        <w:tc>
          <w:tcPr>
            <w:tcW w:w="981" w:type="dxa"/>
            <w:tcMar>
              <w:top w:w="0" w:type="dxa"/>
              <w:left w:w="100" w:type="dxa"/>
              <w:bottom w:w="0" w:type="dxa"/>
              <w:right w:w="100" w:type="dxa"/>
            </w:tcMar>
            <w:vAlign w:val="center"/>
          </w:tcPr>
          <w:p w14:paraId="113AEF8D"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0.55</w:t>
            </w:r>
          </w:p>
        </w:tc>
      </w:tr>
      <w:tr w:rsidR="004D21C4" w:rsidRPr="00710644" w14:paraId="113AEF95" w14:textId="77777777" w:rsidTr="00FF04E1">
        <w:trPr>
          <w:trHeight w:val="285"/>
        </w:trPr>
        <w:tc>
          <w:tcPr>
            <w:tcW w:w="1268" w:type="dxa"/>
            <w:vMerge/>
            <w:tcMar>
              <w:top w:w="0" w:type="dxa"/>
              <w:left w:w="100" w:type="dxa"/>
              <w:bottom w:w="0" w:type="dxa"/>
              <w:right w:w="100" w:type="dxa"/>
            </w:tcMar>
          </w:tcPr>
          <w:p w14:paraId="113AEF8F" w14:textId="77777777" w:rsidR="004D21C4" w:rsidRPr="00710644" w:rsidRDefault="004D21C4" w:rsidP="004D21C4">
            <w:pPr>
              <w:rPr>
                <w:rFonts w:ascii="Times New Roman" w:hAnsi="Times New Roman" w:cs="Times New Roman"/>
                <w:b/>
                <w:bCs/>
              </w:rPr>
            </w:pPr>
          </w:p>
        </w:tc>
        <w:tc>
          <w:tcPr>
            <w:tcW w:w="2250" w:type="dxa"/>
          </w:tcPr>
          <w:p w14:paraId="113AEF90"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Treatment failed</w:t>
            </w:r>
          </w:p>
        </w:tc>
        <w:tc>
          <w:tcPr>
            <w:tcW w:w="1710" w:type="dxa"/>
            <w:tcMar>
              <w:top w:w="0" w:type="dxa"/>
              <w:left w:w="100" w:type="dxa"/>
              <w:bottom w:w="0" w:type="dxa"/>
              <w:right w:w="100" w:type="dxa"/>
            </w:tcMar>
            <w:vAlign w:val="center"/>
          </w:tcPr>
          <w:p w14:paraId="113AEF91"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2 (2.4)</w:t>
            </w:r>
          </w:p>
        </w:tc>
        <w:tc>
          <w:tcPr>
            <w:tcW w:w="1620" w:type="dxa"/>
            <w:tcMar>
              <w:top w:w="0" w:type="dxa"/>
              <w:left w:w="100" w:type="dxa"/>
              <w:bottom w:w="0" w:type="dxa"/>
              <w:right w:w="100" w:type="dxa"/>
            </w:tcMar>
            <w:vAlign w:val="center"/>
          </w:tcPr>
          <w:p w14:paraId="113AEF92"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 (0.0)</w:t>
            </w:r>
          </w:p>
        </w:tc>
        <w:tc>
          <w:tcPr>
            <w:tcW w:w="1530" w:type="dxa"/>
            <w:tcMar>
              <w:top w:w="0" w:type="dxa"/>
              <w:left w:w="100" w:type="dxa"/>
              <w:bottom w:w="0" w:type="dxa"/>
              <w:right w:w="100" w:type="dxa"/>
            </w:tcMar>
            <w:vAlign w:val="center"/>
          </w:tcPr>
          <w:p w14:paraId="113AEF93"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2 (4.4)</w:t>
            </w:r>
          </w:p>
        </w:tc>
        <w:tc>
          <w:tcPr>
            <w:tcW w:w="981" w:type="dxa"/>
            <w:tcMar>
              <w:top w:w="0" w:type="dxa"/>
              <w:left w:w="100" w:type="dxa"/>
              <w:bottom w:w="0" w:type="dxa"/>
              <w:right w:w="100" w:type="dxa"/>
            </w:tcMar>
            <w:vAlign w:val="center"/>
          </w:tcPr>
          <w:p w14:paraId="113AEF94"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0.50</w:t>
            </w:r>
          </w:p>
        </w:tc>
      </w:tr>
      <w:tr w:rsidR="004D21C4" w:rsidRPr="00710644" w14:paraId="113AEF9C" w14:textId="77777777" w:rsidTr="00FF04E1">
        <w:trPr>
          <w:trHeight w:val="285"/>
        </w:trPr>
        <w:tc>
          <w:tcPr>
            <w:tcW w:w="1268" w:type="dxa"/>
            <w:vMerge/>
            <w:tcMar>
              <w:top w:w="0" w:type="dxa"/>
              <w:left w:w="100" w:type="dxa"/>
              <w:bottom w:w="0" w:type="dxa"/>
              <w:right w:w="100" w:type="dxa"/>
            </w:tcMar>
          </w:tcPr>
          <w:p w14:paraId="113AEF96" w14:textId="77777777" w:rsidR="004D21C4" w:rsidRPr="00710644" w:rsidRDefault="004D21C4" w:rsidP="004D21C4">
            <w:pPr>
              <w:rPr>
                <w:rFonts w:ascii="Times New Roman" w:hAnsi="Times New Roman" w:cs="Times New Roman"/>
                <w:b/>
                <w:bCs/>
              </w:rPr>
            </w:pPr>
          </w:p>
        </w:tc>
        <w:tc>
          <w:tcPr>
            <w:tcW w:w="2250" w:type="dxa"/>
          </w:tcPr>
          <w:p w14:paraId="113AEF97"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Death</w:t>
            </w:r>
          </w:p>
        </w:tc>
        <w:tc>
          <w:tcPr>
            <w:tcW w:w="1710" w:type="dxa"/>
            <w:tcMar>
              <w:top w:w="0" w:type="dxa"/>
              <w:left w:w="100" w:type="dxa"/>
              <w:bottom w:w="0" w:type="dxa"/>
              <w:right w:w="100" w:type="dxa"/>
            </w:tcMar>
            <w:vAlign w:val="center"/>
          </w:tcPr>
          <w:p w14:paraId="113AEF98"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17 (20.0)</w:t>
            </w:r>
          </w:p>
        </w:tc>
        <w:tc>
          <w:tcPr>
            <w:tcW w:w="1620" w:type="dxa"/>
            <w:tcMar>
              <w:top w:w="0" w:type="dxa"/>
              <w:left w:w="100" w:type="dxa"/>
              <w:bottom w:w="0" w:type="dxa"/>
              <w:right w:w="100" w:type="dxa"/>
            </w:tcMar>
            <w:vAlign w:val="center"/>
          </w:tcPr>
          <w:p w14:paraId="113AEF99"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4 (10.3)</w:t>
            </w:r>
          </w:p>
        </w:tc>
        <w:tc>
          <w:tcPr>
            <w:tcW w:w="1530" w:type="dxa"/>
            <w:tcMar>
              <w:top w:w="0" w:type="dxa"/>
              <w:left w:w="100" w:type="dxa"/>
              <w:bottom w:w="0" w:type="dxa"/>
              <w:right w:w="100" w:type="dxa"/>
            </w:tcMar>
            <w:vAlign w:val="center"/>
          </w:tcPr>
          <w:p w14:paraId="113AEF9A"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13 (28.3)</w:t>
            </w:r>
          </w:p>
        </w:tc>
        <w:tc>
          <w:tcPr>
            <w:tcW w:w="981" w:type="dxa"/>
            <w:tcMar>
              <w:top w:w="0" w:type="dxa"/>
              <w:left w:w="100" w:type="dxa"/>
              <w:bottom w:w="0" w:type="dxa"/>
              <w:right w:w="100" w:type="dxa"/>
            </w:tcMar>
            <w:vAlign w:val="center"/>
          </w:tcPr>
          <w:p w14:paraId="113AEF9B"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0.05</w:t>
            </w:r>
          </w:p>
        </w:tc>
      </w:tr>
      <w:tr w:rsidR="004D21C4" w:rsidRPr="00710644" w14:paraId="113AEFA3" w14:textId="77777777" w:rsidTr="00FF04E1">
        <w:trPr>
          <w:trHeight w:val="285"/>
        </w:trPr>
        <w:tc>
          <w:tcPr>
            <w:tcW w:w="1268" w:type="dxa"/>
            <w:vMerge/>
            <w:tcMar>
              <w:top w:w="0" w:type="dxa"/>
              <w:left w:w="100" w:type="dxa"/>
              <w:bottom w:w="0" w:type="dxa"/>
              <w:right w:w="100" w:type="dxa"/>
            </w:tcMar>
          </w:tcPr>
          <w:p w14:paraId="113AEF9D" w14:textId="77777777" w:rsidR="004D21C4" w:rsidRPr="00710644" w:rsidRDefault="004D21C4" w:rsidP="004D21C4">
            <w:pPr>
              <w:rPr>
                <w:rFonts w:ascii="Times New Roman" w:hAnsi="Times New Roman" w:cs="Times New Roman"/>
                <w:b/>
                <w:bCs/>
              </w:rPr>
            </w:pPr>
          </w:p>
        </w:tc>
        <w:tc>
          <w:tcPr>
            <w:tcW w:w="2250" w:type="dxa"/>
          </w:tcPr>
          <w:p w14:paraId="113AEF9E" w14:textId="77777777" w:rsidR="004D21C4" w:rsidRPr="00710644" w:rsidRDefault="004D21C4" w:rsidP="004D21C4">
            <w:pPr>
              <w:rPr>
                <w:rFonts w:ascii="Times New Roman" w:hAnsi="Times New Roman" w:cs="Times New Roman"/>
                <w:b/>
                <w:bCs/>
              </w:rPr>
            </w:pPr>
            <w:r w:rsidRPr="00710644">
              <w:rPr>
                <w:rFonts w:ascii="Times New Roman" w:hAnsi="Times New Roman" w:cs="Times New Roman"/>
                <w:b/>
                <w:bCs/>
              </w:rPr>
              <w:t>Discharged</w:t>
            </w:r>
          </w:p>
        </w:tc>
        <w:tc>
          <w:tcPr>
            <w:tcW w:w="1710" w:type="dxa"/>
            <w:tcMar>
              <w:top w:w="0" w:type="dxa"/>
              <w:left w:w="100" w:type="dxa"/>
              <w:bottom w:w="0" w:type="dxa"/>
              <w:right w:w="100" w:type="dxa"/>
            </w:tcMar>
            <w:vAlign w:val="center"/>
          </w:tcPr>
          <w:p w14:paraId="113AEF9F"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49 (57.7)</w:t>
            </w:r>
          </w:p>
        </w:tc>
        <w:tc>
          <w:tcPr>
            <w:tcW w:w="1620" w:type="dxa"/>
            <w:tcMar>
              <w:top w:w="0" w:type="dxa"/>
              <w:left w:w="100" w:type="dxa"/>
              <w:bottom w:w="0" w:type="dxa"/>
              <w:right w:w="100" w:type="dxa"/>
            </w:tcMar>
            <w:vAlign w:val="center"/>
          </w:tcPr>
          <w:p w14:paraId="113AEFA0"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26 (66.7)</w:t>
            </w:r>
          </w:p>
        </w:tc>
        <w:tc>
          <w:tcPr>
            <w:tcW w:w="1530" w:type="dxa"/>
            <w:tcMar>
              <w:top w:w="0" w:type="dxa"/>
              <w:left w:w="100" w:type="dxa"/>
              <w:bottom w:w="0" w:type="dxa"/>
              <w:right w:w="100" w:type="dxa"/>
            </w:tcMar>
            <w:vAlign w:val="center"/>
          </w:tcPr>
          <w:p w14:paraId="113AEFA1"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23 (50.0)</w:t>
            </w:r>
          </w:p>
        </w:tc>
        <w:tc>
          <w:tcPr>
            <w:tcW w:w="981" w:type="dxa"/>
            <w:tcMar>
              <w:top w:w="0" w:type="dxa"/>
              <w:left w:w="100" w:type="dxa"/>
              <w:bottom w:w="0" w:type="dxa"/>
              <w:right w:w="100" w:type="dxa"/>
            </w:tcMar>
            <w:vAlign w:val="center"/>
          </w:tcPr>
          <w:p w14:paraId="113AEFA2"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0.12</w:t>
            </w:r>
          </w:p>
        </w:tc>
      </w:tr>
      <w:tr w:rsidR="004D21C4" w:rsidRPr="00710644" w14:paraId="113AEFAA" w14:textId="77777777" w:rsidTr="00FF04E1">
        <w:trPr>
          <w:trHeight w:val="285"/>
        </w:trPr>
        <w:tc>
          <w:tcPr>
            <w:tcW w:w="1268" w:type="dxa"/>
            <w:vMerge/>
            <w:tcMar>
              <w:top w:w="0" w:type="dxa"/>
              <w:left w:w="100" w:type="dxa"/>
              <w:bottom w:w="0" w:type="dxa"/>
              <w:right w:w="100" w:type="dxa"/>
            </w:tcMar>
          </w:tcPr>
          <w:p w14:paraId="113AEFA4" w14:textId="77777777" w:rsidR="004D21C4" w:rsidRPr="00710644" w:rsidRDefault="004D21C4" w:rsidP="004D21C4">
            <w:pPr>
              <w:rPr>
                <w:rFonts w:ascii="Times New Roman" w:hAnsi="Times New Roman" w:cs="Times New Roman"/>
                <w:b/>
                <w:bCs/>
              </w:rPr>
            </w:pPr>
          </w:p>
        </w:tc>
        <w:tc>
          <w:tcPr>
            <w:tcW w:w="2250" w:type="dxa"/>
          </w:tcPr>
          <w:p w14:paraId="113AEFA5" w14:textId="77777777" w:rsidR="004D21C4" w:rsidRPr="00710644" w:rsidRDefault="004D21C4" w:rsidP="004D21C4">
            <w:pPr>
              <w:rPr>
                <w:rFonts w:ascii="Times New Roman" w:hAnsi="Times New Roman" w:cs="Times New Roman"/>
                <w:b/>
                <w:bCs/>
              </w:rPr>
            </w:pPr>
            <w:r>
              <w:rPr>
                <w:rFonts w:ascii="Times New Roman" w:hAnsi="Times New Roman" w:cs="Times New Roman"/>
                <w:b/>
                <w:bCs/>
              </w:rPr>
              <w:t>H</w:t>
            </w:r>
            <w:r w:rsidRPr="00710644">
              <w:rPr>
                <w:rFonts w:ascii="Times New Roman" w:hAnsi="Times New Roman" w:cs="Times New Roman"/>
                <w:b/>
                <w:bCs/>
              </w:rPr>
              <w:t>ospital stay (Days)</w:t>
            </w:r>
          </w:p>
        </w:tc>
        <w:tc>
          <w:tcPr>
            <w:tcW w:w="1710" w:type="dxa"/>
            <w:tcMar>
              <w:top w:w="0" w:type="dxa"/>
              <w:left w:w="100" w:type="dxa"/>
              <w:bottom w:w="0" w:type="dxa"/>
              <w:right w:w="100" w:type="dxa"/>
            </w:tcMar>
            <w:vAlign w:val="center"/>
          </w:tcPr>
          <w:p w14:paraId="113AEFA6"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16.5 (8.0 – 16.5)</w:t>
            </w:r>
          </w:p>
        </w:tc>
        <w:tc>
          <w:tcPr>
            <w:tcW w:w="1620" w:type="dxa"/>
            <w:tcMar>
              <w:top w:w="0" w:type="dxa"/>
              <w:left w:w="100" w:type="dxa"/>
              <w:bottom w:w="0" w:type="dxa"/>
              <w:right w:w="100" w:type="dxa"/>
            </w:tcMar>
            <w:vAlign w:val="center"/>
          </w:tcPr>
          <w:p w14:paraId="113AEFA7"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11 (6.0 – 19.0)</w:t>
            </w:r>
          </w:p>
        </w:tc>
        <w:tc>
          <w:tcPr>
            <w:tcW w:w="1530" w:type="dxa"/>
            <w:tcMar>
              <w:top w:w="0" w:type="dxa"/>
              <w:left w:w="100" w:type="dxa"/>
              <w:bottom w:w="0" w:type="dxa"/>
              <w:right w:w="100" w:type="dxa"/>
            </w:tcMar>
            <w:vAlign w:val="center"/>
          </w:tcPr>
          <w:p w14:paraId="113AEFA8"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23 (12 – 35.5)</w:t>
            </w:r>
          </w:p>
        </w:tc>
        <w:tc>
          <w:tcPr>
            <w:tcW w:w="981" w:type="dxa"/>
            <w:tcMar>
              <w:top w:w="0" w:type="dxa"/>
              <w:left w:w="100" w:type="dxa"/>
              <w:bottom w:w="0" w:type="dxa"/>
              <w:right w:w="100" w:type="dxa"/>
            </w:tcMar>
            <w:vAlign w:val="center"/>
          </w:tcPr>
          <w:p w14:paraId="113AEFA9" w14:textId="77777777" w:rsidR="004D21C4" w:rsidRPr="00710644" w:rsidRDefault="004D21C4" w:rsidP="00FF04E1">
            <w:pPr>
              <w:jc w:val="right"/>
              <w:rPr>
                <w:rFonts w:ascii="Times New Roman" w:hAnsi="Times New Roman" w:cs="Times New Roman"/>
              </w:rPr>
            </w:pPr>
            <w:r w:rsidRPr="00710644">
              <w:rPr>
                <w:rFonts w:ascii="Times New Roman" w:hAnsi="Times New Roman" w:cs="Times New Roman"/>
              </w:rPr>
              <w:t>&lt;0.001</w:t>
            </w:r>
          </w:p>
        </w:tc>
      </w:tr>
    </w:tbl>
    <w:p w14:paraId="113AEFAB" w14:textId="77777777" w:rsidR="00C06E4E" w:rsidRPr="00C06E4E" w:rsidRDefault="00C06E4E" w:rsidP="00C06E4E">
      <w:pPr>
        <w:jc w:val="both"/>
        <w:rPr>
          <w:rFonts w:ascii="Times New Roman" w:hAnsi="Times New Roman" w:cs="Times New Roman"/>
          <w:b/>
        </w:rPr>
      </w:pPr>
    </w:p>
    <w:p w14:paraId="113AEFAC" w14:textId="77777777" w:rsidR="00C06E4E" w:rsidRDefault="00C06E4E" w:rsidP="00710644">
      <w:pPr>
        <w:rPr>
          <w:rFonts w:ascii="Times New Roman" w:hAnsi="Times New Roman" w:cs="Times New Roman"/>
        </w:rPr>
      </w:pPr>
    </w:p>
    <w:p w14:paraId="113AEFAD" w14:textId="77777777" w:rsidR="001B7F87" w:rsidRPr="00710644" w:rsidRDefault="00710644" w:rsidP="00710644">
      <w:pPr>
        <w:rPr>
          <w:rFonts w:ascii="Times New Roman" w:hAnsi="Times New Roman" w:cs="Times New Roman"/>
        </w:rPr>
      </w:pPr>
      <w:r w:rsidRPr="00710644">
        <w:rPr>
          <w:rFonts w:ascii="Times New Roman" w:hAnsi="Times New Roman" w:cs="Times New Roman"/>
        </w:rPr>
        <w:t>On univariate analysis, excision of SOL and length of hospital stay were significantly associated with culture-positive meningitis. In multivariable logistic regression, excision of space-occupying lesion was associated with lower odds of culture-positive nosocomial meningitis (OR = 0.33, p = 0.05), indicating a borderline statistically significant protective association. Length of hospital stay was also independently associated with culture-positive status (adjusted OR: 1.06; 95% CI: 1.02–1.11; p = 0.002).</w:t>
      </w:r>
      <w:r w:rsidRPr="00710644">
        <w:rPr>
          <w:rFonts w:ascii="Times New Roman" w:hAnsi="Times New Roman" w:cs="Times New Roman"/>
          <w:lang w:val="en-US"/>
        </w:rPr>
        <w:t xml:space="preserve"> </w:t>
      </w:r>
      <w:r w:rsidR="00252F4D">
        <w:rPr>
          <w:rFonts w:ascii="Times New Roman" w:hAnsi="Times New Roman" w:cs="Times New Roman"/>
        </w:rPr>
        <w:t>Table 4</w:t>
      </w:r>
      <w:r w:rsidRPr="00710644">
        <w:rPr>
          <w:rFonts w:ascii="Times New Roman" w:hAnsi="Times New Roman" w:cs="Times New Roman"/>
        </w:rPr>
        <w:t xml:space="preserve"> presents the results of both univariate and multivariate analyses. </w:t>
      </w:r>
    </w:p>
    <w:p w14:paraId="113AEFAE" w14:textId="77777777" w:rsidR="00252F4D" w:rsidRPr="00710644" w:rsidRDefault="00252F4D" w:rsidP="00252F4D">
      <w:pPr>
        <w:jc w:val="both"/>
        <w:rPr>
          <w:rFonts w:ascii="Times New Roman" w:hAnsi="Times New Roman" w:cs="Times New Roman"/>
        </w:rPr>
      </w:pPr>
    </w:p>
    <w:p w14:paraId="113AEFAF" w14:textId="77777777" w:rsidR="00252F4D" w:rsidRPr="00710644" w:rsidRDefault="00252F4D" w:rsidP="00252F4D">
      <w:pPr>
        <w:jc w:val="both"/>
        <w:rPr>
          <w:rFonts w:ascii="Times New Roman" w:hAnsi="Times New Roman" w:cs="Times New Roman"/>
        </w:rPr>
      </w:pPr>
      <w:r>
        <w:rPr>
          <w:rFonts w:ascii="Times New Roman" w:hAnsi="Times New Roman" w:cs="Times New Roman"/>
          <w:b/>
          <w:bCs/>
        </w:rPr>
        <w:t>Table 4</w:t>
      </w:r>
      <w:r w:rsidRPr="00710644">
        <w:rPr>
          <w:rFonts w:ascii="Times New Roman" w:hAnsi="Times New Roman" w:cs="Times New Roman"/>
          <w:b/>
          <w:bCs/>
        </w:rPr>
        <w:t>: Regression analysis</w:t>
      </w:r>
    </w:p>
    <w:tbl>
      <w:tblPr>
        <w:tblStyle w:val="1"/>
        <w:tblW w:w="88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825"/>
        <w:gridCol w:w="1275"/>
        <w:gridCol w:w="975"/>
        <w:gridCol w:w="780"/>
        <w:gridCol w:w="1425"/>
        <w:gridCol w:w="975"/>
      </w:tblGrid>
      <w:tr w:rsidR="00252F4D" w:rsidRPr="00710644" w14:paraId="113AEFB3" w14:textId="77777777" w:rsidTr="00252F4D">
        <w:trPr>
          <w:trHeight w:val="255"/>
        </w:trPr>
        <w:tc>
          <w:tcPr>
            <w:tcW w:w="2610" w:type="dxa"/>
            <w:vMerge w:val="restart"/>
            <w:tcMar>
              <w:top w:w="0" w:type="dxa"/>
              <w:left w:w="100" w:type="dxa"/>
              <w:bottom w:w="0" w:type="dxa"/>
              <w:right w:w="100" w:type="dxa"/>
            </w:tcMar>
          </w:tcPr>
          <w:p w14:paraId="113AEFB0" w14:textId="77777777" w:rsidR="00252F4D" w:rsidRPr="00710644" w:rsidRDefault="00252F4D" w:rsidP="00F46D37">
            <w:pPr>
              <w:rPr>
                <w:rFonts w:ascii="Times New Roman" w:hAnsi="Times New Roman" w:cs="Times New Roman"/>
                <w:b/>
                <w:bCs/>
              </w:rPr>
            </w:pPr>
            <w:r w:rsidRPr="00710644">
              <w:rPr>
                <w:rFonts w:ascii="Times New Roman" w:hAnsi="Times New Roman" w:cs="Times New Roman"/>
                <w:b/>
                <w:bCs/>
              </w:rPr>
              <w:t>Variables</w:t>
            </w:r>
          </w:p>
        </w:tc>
        <w:tc>
          <w:tcPr>
            <w:tcW w:w="3075" w:type="dxa"/>
            <w:gridSpan w:val="3"/>
            <w:tcMar>
              <w:top w:w="0" w:type="dxa"/>
              <w:left w:w="100" w:type="dxa"/>
              <w:bottom w:w="0" w:type="dxa"/>
              <w:right w:w="100" w:type="dxa"/>
            </w:tcMar>
          </w:tcPr>
          <w:p w14:paraId="113AEFB1"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Univariate</w:t>
            </w:r>
          </w:p>
        </w:tc>
        <w:tc>
          <w:tcPr>
            <w:tcW w:w="3180" w:type="dxa"/>
            <w:gridSpan w:val="3"/>
            <w:tcMar>
              <w:top w:w="0" w:type="dxa"/>
              <w:left w:w="100" w:type="dxa"/>
              <w:bottom w:w="0" w:type="dxa"/>
              <w:right w:w="100" w:type="dxa"/>
            </w:tcMar>
          </w:tcPr>
          <w:p w14:paraId="113AEFB2"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Multivariable</w:t>
            </w:r>
          </w:p>
        </w:tc>
      </w:tr>
      <w:tr w:rsidR="00252F4D" w:rsidRPr="00710644" w14:paraId="113AEFBB" w14:textId="77777777" w:rsidTr="00252F4D">
        <w:trPr>
          <w:trHeight w:val="255"/>
        </w:trPr>
        <w:tc>
          <w:tcPr>
            <w:tcW w:w="2610" w:type="dxa"/>
            <w:vMerge/>
            <w:tcMar>
              <w:top w:w="0" w:type="dxa"/>
              <w:left w:w="100" w:type="dxa"/>
              <w:bottom w:w="0" w:type="dxa"/>
              <w:right w:w="100" w:type="dxa"/>
            </w:tcMar>
          </w:tcPr>
          <w:p w14:paraId="113AEFB4" w14:textId="77777777" w:rsidR="00252F4D" w:rsidRPr="00710644" w:rsidRDefault="00252F4D" w:rsidP="00F46D37">
            <w:pPr>
              <w:widowControl w:val="0"/>
              <w:rPr>
                <w:rFonts w:ascii="Times New Roman" w:hAnsi="Times New Roman" w:cs="Times New Roman"/>
                <w:b/>
                <w:bCs/>
              </w:rPr>
            </w:pPr>
          </w:p>
        </w:tc>
        <w:tc>
          <w:tcPr>
            <w:tcW w:w="825" w:type="dxa"/>
            <w:tcMar>
              <w:top w:w="0" w:type="dxa"/>
              <w:left w:w="100" w:type="dxa"/>
              <w:bottom w:w="0" w:type="dxa"/>
              <w:right w:w="100" w:type="dxa"/>
            </w:tcMar>
          </w:tcPr>
          <w:p w14:paraId="113AEFB5"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OR</w:t>
            </w:r>
          </w:p>
        </w:tc>
        <w:tc>
          <w:tcPr>
            <w:tcW w:w="1275" w:type="dxa"/>
            <w:tcMar>
              <w:top w:w="0" w:type="dxa"/>
              <w:left w:w="100" w:type="dxa"/>
              <w:bottom w:w="0" w:type="dxa"/>
              <w:right w:w="100" w:type="dxa"/>
            </w:tcMar>
          </w:tcPr>
          <w:p w14:paraId="113AEFB6"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95% CI</w:t>
            </w:r>
          </w:p>
        </w:tc>
        <w:tc>
          <w:tcPr>
            <w:tcW w:w="975" w:type="dxa"/>
            <w:tcMar>
              <w:top w:w="0" w:type="dxa"/>
              <w:left w:w="100" w:type="dxa"/>
              <w:bottom w:w="0" w:type="dxa"/>
              <w:right w:w="100" w:type="dxa"/>
            </w:tcMar>
          </w:tcPr>
          <w:p w14:paraId="113AEFB7"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p-value</w:t>
            </w:r>
          </w:p>
        </w:tc>
        <w:tc>
          <w:tcPr>
            <w:tcW w:w="780" w:type="dxa"/>
            <w:tcMar>
              <w:top w:w="0" w:type="dxa"/>
              <w:left w:w="100" w:type="dxa"/>
              <w:bottom w:w="0" w:type="dxa"/>
              <w:right w:w="100" w:type="dxa"/>
            </w:tcMar>
          </w:tcPr>
          <w:p w14:paraId="113AEFB8"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OR</w:t>
            </w:r>
          </w:p>
        </w:tc>
        <w:tc>
          <w:tcPr>
            <w:tcW w:w="1425" w:type="dxa"/>
            <w:tcMar>
              <w:top w:w="0" w:type="dxa"/>
              <w:left w:w="100" w:type="dxa"/>
              <w:bottom w:w="0" w:type="dxa"/>
              <w:right w:w="100" w:type="dxa"/>
            </w:tcMar>
          </w:tcPr>
          <w:p w14:paraId="113AEFB9"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95% CI</w:t>
            </w:r>
          </w:p>
        </w:tc>
        <w:tc>
          <w:tcPr>
            <w:tcW w:w="975" w:type="dxa"/>
            <w:tcMar>
              <w:top w:w="0" w:type="dxa"/>
              <w:left w:w="100" w:type="dxa"/>
              <w:bottom w:w="0" w:type="dxa"/>
              <w:right w:w="100" w:type="dxa"/>
            </w:tcMar>
          </w:tcPr>
          <w:p w14:paraId="113AEFBA" w14:textId="77777777" w:rsidR="00252F4D" w:rsidRPr="00710644" w:rsidRDefault="00252F4D" w:rsidP="00F46D37">
            <w:pPr>
              <w:jc w:val="center"/>
              <w:rPr>
                <w:rFonts w:ascii="Times New Roman" w:hAnsi="Times New Roman" w:cs="Times New Roman"/>
                <w:b/>
                <w:bCs/>
              </w:rPr>
            </w:pPr>
            <w:r w:rsidRPr="00710644">
              <w:rPr>
                <w:rFonts w:ascii="Times New Roman" w:hAnsi="Times New Roman" w:cs="Times New Roman"/>
                <w:b/>
                <w:bCs/>
              </w:rPr>
              <w:t>p-value</w:t>
            </w:r>
          </w:p>
        </w:tc>
      </w:tr>
      <w:tr w:rsidR="00252F4D" w:rsidRPr="00710644" w14:paraId="113AEFC3" w14:textId="77777777" w:rsidTr="00252F4D">
        <w:trPr>
          <w:trHeight w:val="255"/>
        </w:trPr>
        <w:tc>
          <w:tcPr>
            <w:tcW w:w="2610" w:type="dxa"/>
            <w:tcMar>
              <w:top w:w="0" w:type="dxa"/>
              <w:left w:w="100" w:type="dxa"/>
              <w:bottom w:w="0" w:type="dxa"/>
              <w:right w:w="100" w:type="dxa"/>
            </w:tcMar>
          </w:tcPr>
          <w:p w14:paraId="113AEFBC" w14:textId="77777777" w:rsidR="00252F4D" w:rsidRPr="00710644" w:rsidRDefault="00252F4D" w:rsidP="00F46D37">
            <w:pPr>
              <w:rPr>
                <w:rFonts w:ascii="Times New Roman" w:hAnsi="Times New Roman" w:cs="Times New Roman"/>
              </w:rPr>
            </w:pPr>
            <w:r w:rsidRPr="00710644">
              <w:rPr>
                <w:rFonts w:ascii="Times New Roman" w:hAnsi="Times New Roman" w:cs="Times New Roman"/>
              </w:rPr>
              <w:t>Excision of SOL</w:t>
            </w:r>
          </w:p>
        </w:tc>
        <w:tc>
          <w:tcPr>
            <w:tcW w:w="825" w:type="dxa"/>
            <w:tcMar>
              <w:top w:w="0" w:type="dxa"/>
              <w:left w:w="100" w:type="dxa"/>
              <w:bottom w:w="0" w:type="dxa"/>
              <w:right w:w="100" w:type="dxa"/>
            </w:tcMar>
          </w:tcPr>
          <w:p w14:paraId="113AEFBD"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0.27</w:t>
            </w:r>
          </w:p>
        </w:tc>
        <w:tc>
          <w:tcPr>
            <w:tcW w:w="1275" w:type="dxa"/>
            <w:tcMar>
              <w:top w:w="0" w:type="dxa"/>
              <w:left w:w="100" w:type="dxa"/>
              <w:bottom w:w="0" w:type="dxa"/>
              <w:right w:w="100" w:type="dxa"/>
            </w:tcMar>
          </w:tcPr>
          <w:p w14:paraId="113AEFBE"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0.10 – 0.73</w:t>
            </w:r>
          </w:p>
        </w:tc>
        <w:tc>
          <w:tcPr>
            <w:tcW w:w="975" w:type="dxa"/>
            <w:tcMar>
              <w:top w:w="0" w:type="dxa"/>
              <w:left w:w="100" w:type="dxa"/>
              <w:bottom w:w="0" w:type="dxa"/>
              <w:right w:w="100" w:type="dxa"/>
            </w:tcMar>
          </w:tcPr>
          <w:p w14:paraId="113AEFBF"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0.01</w:t>
            </w:r>
          </w:p>
        </w:tc>
        <w:tc>
          <w:tcPr>
            <w:tcW w:w="780" w:type="dxa"/>
            <w:tcMar>
              <w:top w:w="0" w:type="dxa"/>
              <w:left w:w="100" w:type="dxa"/>
              <w:bottom w:w="0" w:type="dxa"/>
              <w:right w:w="100" w:type="dxa"/>
            </w:tcMar>
          </w:tcPr>
          <w:p w14:paraId="113AEFC0" w14:textId="77777777" w:rsidR="00252F4D" w:rsidRPr="00710644" w:rsidRDefault="0086219D" w:rsidP="00F46D37">
            <w:pPr>
              <w:jc w:val="center"/>
              <w:rPr>
                <w:rFonts w:ascii="Times New Roman" w:hAnsi="Times New Roman" w:cs="Times New Roman"/>
              </w:rPr>
            </w:pPr>
            <w:sdt>
              <w:sdtPr>
                <w:rPr>
                  <w:rFonts w:ascii="Times New Roman" w:hAnsi="Times New Roman" w:cs="Times New Roman"/>
                </w:rPr>
                <w:tag w:val="goog_rdk_12"/>
                <w:id w:val="489460317"/>
              </w:sdtPr>
              <w:sdtEndPr/>
              <w:sdtContent/>
            </w:sdt>
            <w:r w:rsidR="00252F4D" w:rsidRPr="00710644">
              <w:rPr>
                <w:rFonts w:ascii="Times New Roman" w:hAnsi="Times New Roman" w:cs="Times New Roman"/>
              </w:rPr>
              <w:t>0.33</w:t>
            </w:r>
          </w:p>
        </w:tc>
        <w:tc>
          <w:tcPr>
            <w:tcW w:w="1425" w:type="dxa"/>
            <w:tcMar>
              <w:top w:w="0" w:type="dxa"/>
              <w:left w:w="100" w:type="dxa"/>
              <w:bottom w:w="0" w:type="dxa"/>
              <w:right w:w="100" w:type="dxa"/>
            </w:tcMar>
          </w:tcPr>
          <w:p w14:paraId="113AEFC1"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0.11 – 0.99</w:t>
            </w:r>
          </w:p>
        </w:tc>
        <w:tc>
          <w:tcPr>
            <w:tcW w:w="975" w:type="dxa"/>
            <w:tcMar>
              <w:top w:w="0" w:type="dxa"/>
              <w:left w:w="100" w:type="dxa"/>
              <w:bottom w:w="0" w:type="dxa"/>
              <w:right w:w="100" w:type="dxa"/>
            </w:tcMar>
          </w:tcPr>
          <w:p w14:paraId="113AEFC2"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0.05</w:t>
            </w:r>
          </w:p>
        </w:tc>
      </w:tr>
      <w:tr w:rsidR="00252F4D" w:rsidRPr="00710644" w14:paraId="113AEFCB" w14:textId="77777777" w:rsidTr="00252F4D">
        <w:trPr>
          <w:trHeight w:val="444"/>
        </w:trPr>
        <w:tc>
          <w:tcPr>
            <w:tcW w:w="2610" w:type="dxa"/>
            <w:tcMar>
              <w:top w:w="0" w:type="dxa"/>
              <w:left w:w="100" w:type="dxa"/>
              <w:bottom w:w="0" w:type="dxa"/>
              <w:right w:w="100" w:type="dxa"/>
            </w:tcMar>
          </w:tcPr>
          <w:p w14:paraId="113AEFC4" w14:textId="77777777" w:rsidR="00252F4D" w:rsidRPr="00710644" w:rsidRDefault="00252F4D" w:rsidP="00F46D37">
            <w:pPr>
              <w:rPr>
                <w:rFonts w:ascii="Times New Roman" w:hAnsi="Times New Roman" w:cs="Times New Roman"/>
              </w:rPr>
            </w:pPr>
            <w:r w:rsidRPr="00710644">
              <w:rPr>
                <w:rFonts w:ascii="Times New Roman" w:hAnsi="Times New Roman" w:cs="Times New Roman"/>
              </w:rPr>
              <w:t>Length of hospital stay</w:t>
            </w:r>
          </w:p>
        </w:tc>
        <w:tc>
          <w:tcPr>
            <w:tcW w:w="825" w:type="dxa"/>
            <w:tcMar>
              <w:top w:w="0" w:type="dxa"/>
              <w:left w:w="100" w:type="dxa"/>
              <w:bottom w:w="0" w:type="dxa"/>
              <w:right w:w="100" w:type="dxa"/>
            </w:tcMar>
          </w:tcPr>
          <w:p w14:paraId="113AEFC5"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1.07</w:t>
            </w:r>
          </w:p>
        </w:tc>
        <w:tc>
          <w:tcPr>
            <w:tcW w:w="1275" w:type="dxa"/>
            <w:tcMar>
              <w:top w:w="0" w:type="dxa"/>
              <w:left w:w="100" w:type="dxa"/>
              <w:bottom w:w="0" w:type="dxa"/>
              <w:right w:w="100" w:type="dxa"/>
            </w:tcMar>
          </w:tcPr>
          <w:p w14:paraId="113AEFC6"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1.03 – 1.11</w:t>
            </w:r>
          </w:p>
        </w:tc>
        <w:tc>
          <w:tcPr>
            <w:tcW w:w="975" w:type="dxa"/>
            <w:tcMar>
              <w:top w:w="0" w:type="dxa"/>
              <w:left w:w="100" w:type="dxa"/>
              <w:bottom w:w="0" w:type="dxa"/>
              <w:right w:w="100" w:type="dxa"/>
            </w:tcMar>
          </w:tcPr>
          <w:p w14:paraId="113AEFC7"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0.001</w:t>
            </w:r>
          </w:p>
        </w:tc>
        <w:tc>
          <w:tcPr>
            <w:tcW w:w="780" w:type="dxa"/>
            <w:tcMar>
              <w:top w:w="0" w:type="dxa"/>
              <w:left w:w="100" w:type="dxa"/>
              <w:bottom w:w="0" w:type="dxa"/>
              <w:right w:w="100" w:type="dxa"/>
            </w:tcMar>
          </w:tcPr>
          <w:p w14:paraId="113AEFC8"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1.06</w:t>
            </w:r>
          </w:p>
        </w:tc>
        <w:tc>
          <w:tcPr>
            <w:tcW w:w="1425" w:type="dxa"/>
            <w:tcMar>
              <w:top w:w="0" w:type="dxa"/>
              <w:left w:w="100" w:type="dxa"/>
              <w:bottom w:w="0" w:type="dxa"/>
              <w:right w:w="100" w:type="dxa"/>
            </w:tcMar>
          </w:tcPr>
          <w:p w14:paraId="113AEFC9" w14:textId="77777777" w:rsidR="00252F4D" w:rsidRPr="00710644" w:rsidRDefault="0086219D" w:rsidP="00F46D37">
            <w:pPr>
              <w:jc w:val="center"/>
              <w:rPr>
                <w:rFonts w:ascii="Times New Roman" w:hAnsi="Times New Roman" w:cs="Times New Roman"/>
              </w:rPr>
            </w:pPr>
            <w:sdt>
              <w:sdtPr>
                <w:rPr>
                  <w:rFonts w:ascii="Times New Roman" w:hAnsi="Times New Roman" w:cs="Times New Roman"/>
                </w:rPr>
                <w:tag w:val="goog_rdk_13"/>
                <w:id w:val="287317859"/>
              </w:sdtPr>
              <w:sdtEndPr/>
              <w:sdtContent/>
            </w:sdt>
            <w:r w:rsidR="00252F4D" w:rsidRPr="00710644">
              <w:rPr>
                <w:rFonts w:ascii="Times New Roman" w:hAnsi="Times New Roman" w:cs="Times New Roman"/>
              </w:rPr>
              <w:t>1.02 – 1.11</w:t>
            </w:r>
          </w:p>
        </w:tc>
        <w:tc>
          <w:tcPr>
            <w:tcW w:w="975" w:type="dxa"/>
            <w:tcMar>
              <w:top w:w="0" w:type="dxa"/>
              <w:left w:w="100" w:type="dxa"/>
              <w:bottom w:w="0" w:type="dxa"/>
              <w:right w:w="100" w:type="dxa"/>
            </w:tcMar>
          </w:tcPr>
          <w:p w14:paraId="113AEFCA" w14:textId="77777777" w:rsidR="00252F4D" w:rsidRPr="00710644" w:rsidRDefault="00252F4D" w:rsidP="00F46D37">
            <w:pPr>
              <w:jc w:val="center"/>
              <w:rPr>
                <w:rFonts w:ascii="Times New Roman" w:hAnsi="Times New Roman" w:cs="Times New Roman"/>
              </w:rPr>
            </w:pPr>
            <w:r w:rsidRPr="00710644">
              <w:rPr>
                <w:rFonts w:ascii="Times New Roman" w:hAnsi="Times New Roman" w:cs="Times New Roman"/>
              </w:rPr>
              <w:t>0.002</w:t>
            </w:r>
          </w:p>
        </w:tc>
      </w:tr>
    </w:tbl>
    <w:p w14:paraId="113AEFCC" w14:textId="77777777" w:rsidR="00252F4D" w:rsidRPr="00252F4D" w:rsidRDefault="00252F4D" w:rsidP="00252F4D">
      <w:pPr>
        <w:jc w:val="both"/>
        <w:rPr>
          <w:rFonts w:ascii="Times New Roman" w:hAnsi="Times New Roman" w:cs="Times New Roman"/>
          <w:b/>
          <w:sz w:val="18"/>
        </w:rPr>
      </w:pPr>
      <w:r w:rsidRPr="00252F4D">
        <w:rPr>
          <w:rFonts w:ascii="Times New Roman" w:hAnsi="Times New Roman" w:cs="Times New Roman"/>
          <w:b/>
          <w:sz w:val="18"/>
        </w:rPr>
        <w:t>OR: odd ratio; CI: confidence interval; SOL: space occupying lesion</w:t>
      </w:r>
    </w:p>
    <w:p w14:paraId="113AEFCD" w14:textId="77777777" w:rsidR="00252F4D" w:rsidRPr="00710644" w:rsidRDefault="00252F4D" w:rsidP="00252F4D">
      <w:pPr>
        <w:rPr>
          <w:rFonts w:ascii="Times New Roman" w:hAnsi="Times New Roman" w:cs="Times New Roman"/>
        </w:rPr>
      </w:pPr>
    </w:p>
    <w:p w14:paraId="113AEFCE" w14:textId="77777777" w:rsidR="00252F4D" w:rsidRPr="00710644" w:rsidRDefault="00252F4D" w:rsidP="00252F4D">
      <w:pPr>
        <w:rPr>
          <w:rFonts w:ascii="Times New Roman" w:hAnsi="Times New Roman" w:cs="Times New Roman"/>
        </w:rPr>
      </w:pPr>
      <w:r w:rsidRPr="00710644">
        <w:rPr>
          <w:rFonts w:ascii="Times New Roman" w:hAnsi="Times New Roman" w:cs="Times New Roman"/>
          <w:noProof/>
          <w:lang w:val="en-US"/>
        </w:rPr>
        <w:drawing>
          <wp:inline distT="0" distB="0" distL="0" distR="0" wp14:anchorId="113AF010" wp14:editId="113AF011">
            <wp:extent cx="2952395" cy="27051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965845" cy="2717424"/>
                    </a:xfrm>
                    <a:prstGeom prst="rect">
                      <a:avLst/>
                    </a:prstGeom>
                  </pic:spPr>
                </pic:pic>
              </a:graphicData>
            </a:graphic>
          </wp:inline>
        </w:drawing>
      </w:r>
    </w:p>
    <w:p w14:paraId="113AEFCF" w14:textId="77777777" w:rsidR="00252F4D" w:rsidRPr="00710644" w:rsidRDefault="00252F4D" w:rsidP="00252F4D">
      <w:pPr>
        <w:rPr>
          <w:rFonts w:ascii="Times New Roman" w:hAnsi="Times New Roman" w:cs="Times New Roman"/>
        </w:rPr>
      </w:pPr>
      <w:r w:rsidRPr="00252F4D">
        <w:rPr>
          <w:rFonts w:ascii="Times New Roman" w:hAnsi="Times New Roman" w:cs="Times New Roman"/>
          <w:b/>
        </w:rPr>
        <w:t>Figure 1A:</w:t>
      </w:r>
      <w:r w:rsidRPr="00710644">
        <w:rPr>
          <w:rFonts w:ascii="Times New Roman" w:hAnsi="Times New Roman" w:cs="Times New Roman"/>
        </w:rPr>
        <w:t xml:space="preserve"> Common risk factors amongst cases and controls</w:t>
      </w:r>
    </w:p>
    <w:p w14:paraId="113AEFD0" w14:textId="77777777" w:rsidR="00252F4D" w:rsidRPr="00710644" w:rsidRDefault="00252F4D" w:rsidP="00252F4D">
      <w:pPr>
        <w:rPr>
          <w:rFonts w:ascii="Times New Roman" w:hAnsi="Times New Roman" w:cs="Times New Roman"/>
        </w:rPr>
      </w:pPr>
      <w:r w:rsidRPr="00252F4D">
        <w:rPr>
          <w:rFonts w:ascii="Times New Roman" w:hAnsi="Times New Roman" w:cs="Times New Roman"/>
          <w:b/>
        </w:rPr>
        <w:t>Figure 1B:</w:t>
      </w:r>
      <w:r w:rsidRPr="00710644">
        <w:rPr>
          <w:rFonts w:ascii="Times New Roman" w:hAnsi="Times New Roman" w:cs="Times New Roman"/>
        </w:rPr>
        <w:t xml:space="preserve"> Types of foreign body insertion in culture positive and culture negative organisms</w:t>
      </w:r>
    </w:p>
    <w:p w14:paraId="113AEFD1" w14:textId="77777777" w:rsidR="00252F4D" w:rsidRPr="00710644" w:rsidRDefault="00252F4D" w:rsidP="00252F4D">
      <w:pPr>
        <w:rPr>
          <w:rFonts w:ascii="Times New Roman" w:hAnsi="Times New Roman" w:cs="Times New Roman"/>
        </w:rPr>
      </w:pPr>
    </w:p>
    <w:p w14:paraId="113AEFD2" w14:textId="77777777" w:rsidR="00252F4D" w:rsidRPr="00710644" w:rsidRDefault="00252F4D" w:rsidP="00252F4D">
      <w:pPr>
        <w:rPr>
          <w:rFonts w:ascii="Times New Roman" w:hAnsi="Times New Roman" w:cs="Times New Roman"/>
        </w:rPr>
      </w:pPr>
    </w:p>
    <w:p w14:paraId="113AEFD3" w14:textId="77777777" w:rsidR="00252F4D" w:rsidRPr="00710644" w:rsidRDefault="00252F4D" w:rsidP="00252F4D">
      <w:pPr>
        <w:rPr>
          <w:rFonts w:ascii="Times New Roman" w:hAnsi="Times New Roman" w:cs="Times New Roman"/>
        </w:rPr>
      </w:pPr>
    </w:p>
    <w:p w14:paraId="113AEFD4" w14:textId="77777777" w:rsidR="00252F4D" w:rsidRPr="00710644" w:rsidRDefault="00252F4D" w:rsidP="00252F4D">
      <w:pPr>
        <w:rPr>
          <w:rFonts w:ascii="Times New Roman" w:hAnsi="Times New Roman" w:cs="Times New Roman"/>
        </w:rPr>
      </w:pPr>
      <w:r w:rsidRPr="00710644">
        <w:rPr>
          <w:rFonts w:ascii="Times New Roman" w:hAnsi="Times New Roman" w:cs="Times New Roman"/>
          <w:noProof/>
          <w:lang w:val="en-US"/>
        </w:rPr>
        <w:drawing>
          <wp:inline distT="0" distB="0" distL="0" distR="0" wp14:anchorId="113AF012" wp14:editId="113AF013">
            <wp:extent cx="4895850" cy="25285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99976" cy="2530701"/>
                    </a:xfrm>
                    <a:prstGeom prst="rect">
                      <a:avLst/>
                    </a:prstGeom>
                  </pic:spPr>
                </pic:pic>
              </a:graphicData>
            </a:graphic>
          </wp:inline>
        </w:drawing>
      </w:r>
    </w:p>
    <w:p w14:paraId="113AEFD5" w14:textId="77777777" w:rsidR="00252F4D" w:rsidRPr="00710644" w:rsidRDefault="00252F4D" w:rsidP="00252F4D">
      <w:pPr>
        <w:rPr>
          <w:rFonts w:ascii="Times New Roman" w:hAnsi="Times New Roman" w:cs="Times New Roman"/>
        </w:rPr>
      </w:pPr>
      <w:r w:rsidRPr="00252F4D">
        <w:rPr>
          <w:rFonts w:ascii="Times New Roman" w:hAnsi="Times New Roman" w:cs="Times New Roman"/>
          <w:b/>
        </w:rPr>
        <w:t>Figure 2:</w:t>
      </w:r>
      <w:r w:rsidRPr="00710644">
        <w:rPr>
          <w:rFonts w:ascii="Times New Roman" w:hAnsi="Times New Roman" w:cs="Times New Roman"/>
        </w:rPr>
        <w:t xml:space="preserve"> Heat map showing antimicrobial susceptibility patterns of microorganisms isolated from ICU patients.</w:t>
      </w:r>
    </w:p>
    <w:p w14:paraId="113AEFD6" w14:textId="77777777" w:rsidR="00252F4D" w:rsidRPr="00710644" w:rsidRDefault="00252F4D" w:rsidP="00252F4D">
      <w:pPr>
        <w:rPr>
          <w:rFonts w:ascii="Times New Roman" w:hAnsi="Times New Roman" w:cs="Times New Roman"/>
        </w:rPr>
      </w:pPr>
    </w:p>
    <w:p w14:paraId="113AEFD7" w14:textId="77777777" w:rsidR="00252F4D" w:rsidRPr="00710644" w:rsidRDefault="00252F4D" w:rsidP="00252F4D">
      <w:pPr>
        <w:rPr>
          <w:rFonts w:ascii="Times New Roman" w:hAnsi="Times New Roman" w:cs="Times New Roman"/>
        </w:rPr>
      </w:pPr>
    </w:p>
    <w:p w14:paraId="113AEFD8" w14:textId="77777777" w:rsidR="001B7F87" w:rsidRPr="00710644" w:rsidRDefault="00252F4D" w:rsidP="00710644">
      <w:pPr>
        <w:rPr>
          <w:rFonts w:ascii="Times New Roman" w:hAnsi="Times New Roman" w:cs="Times New Roman"/>
          <w:b/>
          <w:bCs/>
          <w:color w:val="000000"/>
        </w:rPr>
      </w:pPr>
      <w:r>
        <w:rPr>
          <w:rFonts w:ascii="Times New Roman" w:hAnsi="Times New Roman" w:cs="Times New Roman"/>
          <w:b/>
          <w:bCs/>
          <w:color w:val="000000"/>
        </w:rPr>
        <w:t>Discussion</w:t>
      </w:r>
    </w:p>
    <w:p w14:paraId="113AEFD9"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This study provides a decade of data on post-neurosurgical meningitis in a high-volume LMIC tertiary center, highlighting the predominance of MDR gram-negative pathogens and significant morbidity associated with culture-positive infections.</w:t>
      </w:r>
    </w:p>
    <w:p w14:paraId="113AEFDA"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 xml:space="preserve">According to the past literature, the most common predisposing factors for nosocomial meningitis were invasive CNS procedures, traumatic brain injury, basal skull fracture, brain hemorrhage or use of invasive </w:t>
      </w:r>
      <w:r w:rsidRPr="00710644">
        <w:rPr>
          <w:rFonts w:ascii="Times New Roman" w:hAnsi="Times New Roman" w:cs="Times New Roman"/>
        </w:rPr>
        <w:lastRenderedPageBreak/>
        <w:t>CNS devices.</w:t>
      </w:r>
      <w:r w:rsidRPr="00710644">
        <w:rPr>
          <w:rFonts w:ascii="Times New Roman" w:hAnsi="Times New Roman" w:cs="Times New Roman"/>
          <w:vertAlign w:val="superscript"/>
        </w:rPr>
        <w:t>12-14</w:t>
      </w:r>
      <w:r w:rsidRPr="00710644">
        <w:rPr>
          <w:rFonts w:ascii="Times New Roman" w:hAnsi="Times New Roman" w:cs="Times New Roman"/>
          <w:vertAlign w:val="superscript"/>
          <w:lang w:val="en-US"/>
        </w:rPr>
        <w:t xml:space="preserve"> </w:t>
      </w:r>
      <w:r w:rsidRPr="00710644">
        <w:rPr>
          <w:rFonts w:ascii="Times New Roman" w:hAnsi="Times New Roman" w:cs="Times New Roman"/>
        </w:rPr>
        <w:t>While several studies have explored the risk factors and outcomes of meningitis following neurosurgical interventions, there is a notable scarcity of research focused on comparing culture-positive and culture-negative nosocomial meningitis.</w:t>
      </w:r>
      <w:r w:rsidRPr="00710644">
        <w:rPr>
          <w:rFonts w:ascii="Times New Roman" w:hAnsi="Times New Roman" w:cs="Times New Roman"/>
          <w:vertAlign w:val="superscript"/>
        </w:rPr>
        <w:t>14</w:t>
      </w:r>
      <w:r w:rsidRPr="00710644">
        <w:rPr>
          <w:rFonts w:ascii="Times New Roman" w:hAnsi="Times New Roman" w:cs="Times New Roman"/>
        </w:rPr>
        <w:t xml:space="preserve"> This aligns with recent literature, where invasive neurosurgical procedures have been identified as major risk factors for postoperative meningitis due to their complexity and potential for contamination of the cerebrospinal space.</w:t>
      </w:r>
      <w:r w:rsidRPr="00710644">
        <w:rPr>
          <w:rFonts w:ascii="Times New Roman" w:hAnsi="Times New Roman" w:cs="Times New Roman"/>
          <w:vertAlign w:val="superscript"/>
        </w:rPr>
        <w:t>15</w:t>
      </w:r>
      <w:r w:rsidRPr="00710644">
        <w:rPr>
          <w:rFonts w:ascii="Times New Roman" w:hAnsi="Times New Roman" w:cs="Times New Roman"/>
        </w:rPr>
        <w:t xml:space="preserve"> Around one-third of cases arise during the first week post-surgery, with an additional third presenting in the second week following the procedure.</w:t>
      </w:r>
      <w:r w:rsidRPr="00710644">
        <w:rPr>
          <w:rFonts w:ascii="Times New Roman" w:hAnsi="Times New Roman" w:cs="Times New Roman"/>
          <w:vertAlign w:val="superscript"/>
        </w:rPr>
        <w:t>1</w:t>
      </w:r>
      <w:r w:rsidRPr="00710644">
        <w:rPr>
          <w:rFonts w:ascii="Times New Roman" w:hAnsi="Times New Roman" w:cs="Times New Roman"/>
        </w:rPr>
        <w:t xml:space="preserve"> In our study, patients undergoing excision of SOL demonstrated reduced odds of nosocomial meningitis; however, the borderline statistical significance suggests that larger studies are needed to confirm this finding. The observed protective association may reflect confounding factors such as case selection or surgical characteristics rather than a true protective effect.</w:t>
      </w:r>
    </w:p>
    <w:p w14:paraId="113AEFDB"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 xml:space="preserve">In recent </w:t>
      </w:r>
      <w:proofErr w:type="spellStart"/>
      <w:r w:rsidRPr="00710644">
        <w:rPr>
          <w:rFonts w:ascii="Times New Roman" w:hAnsi="Times New Roman" w:cs="Times New Roman"/>
        </w:rPr>
        <w:t>studie</w:t>
      </w:r>
      <w:proofErr w:type="spellEnd"/>
      <w:r w:rsidRPr="00710644">
        <w:rPr>
          <w:rFonts w:ascii="Times New Roman" w:hAnsi="Times New Roman" w:cs="Times New Roman"/>
          <w:lang w:val="en-US"/>
        </w:rPr>
        <w:t xml:space="preserve">s </w:t>
      </w:r>
      <w:r w:rsidRPr="00710644">
        <w:rPr>
          <w:rFonts w:ascii="Times New Roman" w:hAnsi="Times New Roman" w:cs="Times New Roman"/>
        </w:rPr>
        <w:t>positive CSF cultures, especially with gram-negative organisms,</w:t>
      </w:r>
      <w:r w:rsidRPr="00710644">
        <w:rPr>
          <w:rFonts w:ascii="Times New Roman" w:hAnsi="Times New Roman" w:cs="Times New Roman"/>
          <w:lang w:val="en-US"/>
        </w:rPr>
        <w:t xml:space="preserve"> </w:t>
      </w:r>
      <w:r w:rsidRPr="00710644">
        <w:rPr>
          <w:rFonts w:ascii="Times New Roman" w:hAnsi="Times New Roman" w:cs="Times New Roman"/>
        </w:rPr>
        <w:t>were associated with poor outcomes and higher mortality.</w:t>
      </w:r>
      <w:r w:rsidRPr="00710644">
        <w:rPr>
          <w:rFonts w:ascii="Times New Roman" w:hAnsi="Times New Roman" w:cs="Times New Roman"/>
          <w:vertAlign w:val="superscript"/>
        </w:rPr>
        <w:t>12,16</w:t>
      </w:r>
      <w:r w:rsidRPr="00710644">
        <w:rPr>
          <w:rFonts w:ascii="Times New Roman" w:hAnsi="Times New Roman" w:cs="Times New Roman"/>
        </w:rPr>
        <w:t xml:space="preserve"> A study from Spain reported 51 cases of </w:t>
      </w:r>
      <w:r w:rsidRPr="00710644">
        <w:rPr>
          <w:rFonts w:ascii="Times New Roman" w:hAnsi="Times New Roman" w:cs="Times New Roman"/>
          <w:i/>
          <w:iCs/>
        </w:rPr>
        <w:t>Pseudomonas aeruginosa</w:t>
      </w:r>
      <w:r w:rsidRPr="00710644">
        <w:rPr>
          <w:rFonts w:ascii="Times New Roman" w:hAnsi="Times New Roman" w:cs="Times New Roman"/>
        </w:rPr>
        <w:t xml:space="preserve"> growth in cerebrospinal fluid following surgical procedures, with a mortality rate of approximately 33.3%.</w:t>
      </w:r>
      <w:r w:rsidRPr="00710644">
        <w:rPr>
          <w:rFonts w:ascii="Times New Roman" w:hAnsi="Times New Roman" w:cs="Times New Roman"/>
          <w:vertAlign w:val="superscript"/>
        </w:rPr>
        <w:t>17</w:t>
      </w:r>
      <w:r w:rsidRPr="00710644">
        <w:rPr>
          <w:rFonts w:ascii="Times New Roman" w:hAnsi="Times New Roman" w:cs="Times New Roman"/>
        </w:rPr>
        <w:t xml:space="preserve"> </w:t>
      </w:r>
      <w:proofErr w:type="spellStart"/>
      <w:r w:rsidRPr="00710644">
        <w:rPr>
          <w:rFonts w:ascii="Times New Roman" w:hAnsi="Times New Roman" w:cs="Times New Roman"/>
        </w:rPr>
        <w:t>Kizilates</w:t>
      </w:r>
      <w:proofErr w:type="spellEnd"/>
      <w:r w:rsidRPr="00710644">
        <w:rPr>
          <w:rFonts w:ascii="Times New Roman" w:hAnsi="Times New Roman" w:cs="Times New Roman"/>
        </w:rPr>
        <w:t xml:space="preserve"> et al. reported significantly higher 14-day (p = 0.022) and 30-day mortality rates (p = 0.023) in cases involving gram-negative nosocomial meningitis.</w:t>
      </w:r>
      <w:r w:rsidRPr="00710644">
        <w:rPr>
          <w:rFonts w:ascii="Times New Roman" w:hAnsi="Times New Roman" w:cs="Times New Roman"/>
          <w:vertAlign w:val="superscript"/>
        </w:rPr>
        <w:t>2</w:t>
      </w:r>
      <w:r w:rsidRPr="00710644">
        <w:rPr>
          <w:rFonts w:ascii="Times New Roman" w:hAnsi="Times New Roman" w:cs="Times New Roman"/>
        </w:rPr>
        <w:t xml:space="preserve"> In our study, 17 patients (20%) died from nosocomial meningitis, with higher mortality observed in the group with positive CSF cultures, where 13 out of 17 patients (76%) died due to the infection.</w:t>
      </w:r>
    </w:p>
    <w:p w14:paraId="113AEFDC"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 xml:space="preserve">The predominance of MDR gram-negative organisms in our cohort is consistent with emerging global trends in post-neurosurgical infections, particularly in low- and middle-income countries. Recent studies have highlighted </w:t>
      </w:r>
      <w:r w:rsidRPr="00710644">
        <w:rPr>
          <w:rFonts w:ascii="Times New Roman" w:hAnsi="Times New Roman" w:cs="Times New Roman"/>
          <w:i/>
          <w:iCs/>
        </w:rPr>
        <w:t>Acinetobacter baumannii</w:t>
      </w:r>
      <w:r w:rsidRPr="00710644">
        <w:rPr>
          <w:rFonts w:ascii="Times New Roman" w:hAnsi="Times New Roman" w:cs="Times New Roman"/>
        </w:rPr>
        <w:t xml:space="preserve"> as a leading pathogen, often associated with limited therapeutic options and high mortality.</w:t>
      </w:r>
      <w:r w:rsidRPr="00710644">
        <w:rPr>
          <w:rFonts w:ascii="Times New Roman" w:hAnsi="Times New Roman" w:cs="Times New Roman"/>
          <w:vertAlign w:val="superscript"/>
        </w:rPr>
        <w:t>18</w:t>
      </w:r>
      <w:r w:rsidRPr="00710644">
        <w:rPr>
          <w:rFonts w:ascii="Times New Roman" w:hAnsi="Times New Roman" w:cs="Times New Roman"/>
          <w:vertAlign w:val="superscript"/>
          <w:lang w:val="en-US"/>
        </w:rPr>
        <w:t xml:space="preserve"> </w:t>
      </w:r>
      <w:r w:rsidRPr="00710644">
        <w:rPr>
          <w:rFonts w:ascii="Times New Roman" w:hAnsi="Times New Roman" w:cs="Times New Roman"/>
        </w:rPr>
        <w:t xml:space="preserve">In a recent cohort study, MDR </w:t>
      </w:r>
      <w:r w:rsidRPr="00710644">
        <w:rPr>
          <w:rFonts w:ascii="Times New Roman" w:hAnsi="Times New Roman" w:cs="Times New Roman"/>
          <w:i/>
          <w:iCs/>
        </w:rPr>
        <w:t xml:space="preserve">A. baumannii </w:t>
      </w:r>
      <w:r w:rsidRPr="00710644">
        <w:rPr>
          <w:rFonts w:ascii="Times New Roman" w:hAnsi="Times New Roman" w:cs="Times New Roman"/>
        </w:rPr>
        <w:t>infections were identified as one of the most severe complications following neurosurgical procedures, with challenges in achieving microbiological clearance and limited effective antibiotics.</w:t>
      </w:r>
      <w:r w:rsidRPr="00710644">
        <w:rPr>
          <w:rFonts w:ascii="Times New Roman" w:hAnsi="Times New Roman" w:cs="Times New Roman"/>
          <w:vertAlign w:val="superscript"/>
        </w:rPr>
        <w:t>19</w:t>
      </w:r>
      <w:r w:rsidRPr="00710644">
        <w:rPr>
          <w:rFonts w:ascii="Times New Roman" w:hAnsi="Times New Roman" w:cs="Times New Roman"/>
        </w:rPr>
        <w:t xml:space="preserve"> Our findings, with 89% gram-negative isolates and a high prevalence of MDR </w:t>
      </w:r>
      <w:r w:rsidRPr="00710644">
        <w:rPr>
          <w:rFonts w:ascii="Times New Roman" w:hAnsi="Times New Roman" w:cs="Times New Roman"/>
          <w:i/>
          <w:iCs/>
        </w:rPr>
        <w:t>A. baumannii</w:t>
      </w:r>
      <w:r w:rsidRPr="00710644">
        <w:rPr>
          <w:rFonts w:ascii="Times New Roman" w:hAnsi="Times New Roman" w:cs="Times New Roman"/>
        </w:rPr>
        <w:t>, further support this epidemiological transition.</w:t>
      </w:r>
    </w:p>
    <w:p w14:paraId="113AEFDD"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 xml:space="preserve">The higher mortality observed among culture-positive patients in our study aligns with previous literature demonstrating worse outcomes in microbiologically confirmed infections, particularly those caused by gram-negative organisms. A large institutional study reported mortality rates of up to 40.3% in post-neurosurgical </w:t>
      </w:r>
      <w:r w:rsidRPr="00710644">
        <w:rPr>
          <w:rFonts w:ascii="Times New Roman" w:hAnsi="Times New Roman" w:cs="Times New Roman"/>
          <w:i/>
          <w:iCs/>
        </w:rPr>
        <w:t>Acinetobacter</w:t>
      </w:r>
      <w:r w:rsidRPr="00710644">
        <w:rPr>
          <w:rFonts w:ascii="Times New Roman" w:hAnsi="Times New Roman" w:cs="Times New Roman"/>
        </w:rPr>
        <w:t xml:space="preserve"> meningitis, significantly higher than other etiologies.</w:t>
      </w:r>
      <w:r w:rsidRPr="00710644">
        <w:rPr>
          <w:rFonts w:ascii="Times New Roman" w:hAnsi="Times New Roman" w:cs="Times New Roman"/>
          <w:vertAlign w:val="superscript"/>
        </w:rPr>
        <w:t>20</w:t>
      </w:r>
      <w:r w:rsidRPr="00710644">
        <w:rPr>
          <w:rFonts w:ascii="Times New Roman" w:hAnsi="Times New Roman" w:cs="Times New Roman"/>
          <w:vertAlign w:val="superscript"/>
          <w:lang w:val="en-US"/>
        </w:rPr>
        <w:t xml:space="preserve"> </w:t>
      </w:r>
      <w:r w:rsidRPr="00710644">
        <w:rPr>
          <w:rFonts w:ascii="Times New Roman" w:hAnsi="Times New Roman" w:cs="Times New Roman"/>
        </w:rPr>
        <w:t xml:space="preserve">Another comparative study demonstrated mortality rates exceeding 50% in </w:t>
      </w:r>
      <w:r w:rsidRPr="00710644">
        <w:rPr>
          <w:rFonts w:ascii="Times New Roman" w:hAnsi="Times New Roman" w:cs="Times New Roman"/>
          <w:i/>
          <w:iCs/>
        </w:rPr>
        <w:t>Acinetobacter</w:t>
      </w:r>
      <w:r w:rsidRPr="00710644">
        <w:rPr>
          <w:rFonts w:ascii="Times New Roman" w:hAnsi="Times New Roman" w:cs="Times New Roman"/>
        </w:rPr>
        <w:t>-associated meningitis compared to approximately 24% in non-</w:t>
      </w:r>
      <w:r w:rsidRPr="00710644">
        <w:rPr>
          <w:rFonts w:ascii="Times New Roman" w:hAnsi="Times New Roman" w:cs="Times New Roman"/>
          <w:i/>
          <w:iCs/>
        </w:rPr>
        <w:t>Acinetobacter</w:t>
      </w:r>
      <w:r w:rsidRPr="00710644">
        <w:rPr>
          <w:rFonts w:ascii="Times New Roman" w:hAnsi="Times New Roman" w:cs="Times New Roman"/>
        </w:rPr>
        <w:t xml:space="preserve"> or culture-negative cases.</w:t>
      </w:r>
      <w:r w:rsidRPr="00710644">
        <w:rPr>
          <w:rFonts w:ascii="Times New Roman" w:hAnsi="Times New Roman" w:cs="Times New Roman"/>
          <w:vertAlign w:val="superscript"/>
        </w:rPr>
        <w:t>21</w:t>
      </w:r>
      <w:r w:rsidRPr="00710644">
        <w:rPr>
          <w:rFonts w:ascii="Times New Roman" w:hAnsi="Times New Roman" w:cs="Times New Roman"/>
        </w:rPr>
        <w:t xml:space="preserve"> In contrast, our study observed a mortality rate of 28.3% in culture-positive patients, which, although lower, still reflects the substantial burden associated with MDR infections in neurosurgical settings.</w:t>
      </w:r>
    </w:p>
    <w:p w14:paraId="113AEFDE"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The association between neurosurgical devices and infection risk has been consistently reported in the literature. External ventricular drains (EVDs), in particular, have been identified as independent predictors of poor outcomes and increased mortality in post-neurosurgical meningitis.</w:t>
      </w:r>
      <w:r w:rsidRPr="00710644">
        <w:rPr>
          <w:rFonts w:ascii="Times New Roman" w:hAnsi="Times New Roman" w:cs="Times New Roman"/>
          <w:vertAlign w:val="superscript"/>
        </w:rPr>
        <w:t>20</w:t>
      </w:r>
      <w:r w:rsidRPr="00710644">
        <w:rPr>
          <w:rFonts w:ascii="Times New Roman" w:hAnsi="Times New Roman" w:cs="Times New Roman"/>
        </w:rPr>
        <w:t xml:space="preserve"> In our study, EVD placement showed a trend toward higher frequency in culture-negative cases; however, this did not reach statistical significance. This discrepancy may reflect differences in patient selection, timing of infection, or antibiotic exposure prior to culture sampling.</w:t>
      </w:r>
    </w:p>
    <w:p w14:paraId="113AEFDF"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A substantial proportion of patients in our study were culture-negative, highlighting a well-recognized limitation in the diagnosis of post-neurosurgical meningitis. Previous studies have reported culture-negative rates of approximately 40–45% in similar populations.</w:t>
      </w:r>
      <w:r w:rsidRPr="00710644">
        <w:rPr>
          <w:rFonts w:ascii="Times New Roman" w:hAnsi="Times New Roman" w:cs="Times New Roman"/>
          <w:vertAlign w:val="superscript"/>
        </w:rPr>
        <w:t>21</w:t>
      </w:r>
      <w:r w:rsidRPr="00710644">
        <w:rPr>
          <w:rFonts w:ascii="Times New Roman" w:hAnsi="Times New Roman" w:cs="Times New Roman"/>
          <w:vertAlign w:val="superscript"/>
          <w:lang w:val="en-US"/>
        </w:rPr>
        <w:t xml:space="preserve"> </w:t>
      </w:r>
      <w:r w:rsidRPr="00710644">
        <w:rPr>
          <w:rFonts w:ascii="Times New Roman" w:hAnsi="Times New Roman" w:cs="Times New Roman"/>
        </w:rPr>
        <w:t xml:space="preserve">Factors contributing to negative cultures include prior antibiotic exposure, low bacterial load, biofilm-associated infections, and limitations of conventional microbiological techniques. This highlights the need for advanced diagnostic modalities such as polymerase </w:t>
      </w:r>
      <w:r w:rsidRPr="00710644">
        <w:rPr>
          <w:rFonts w:ascii="Times New Roman" w:hAnsi="Times New Roman" w:cs="Times New Roman"/>
        </w:rPr>
        <w:lastRenderedPageBreak/>
        <w:t>chain reaction (PCR) and metagenomic sequencing, which have shown improved pathogen detection in central nervous system infections.</w:t>
      </w:r>
    </w:p>
    <w:p w14:paraId="113AEFE0"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An observational study reported a median hospital stay of 38 days and a mean average ICU stay of 18 ± 12 days.</w:t>
      </w:r>
      <w:r w:rsidRPr="00710644">
        <w:rPr>
          <w:rFonts w:ascii="Times New Roman" w:hAnsi="Times New Roman" w:cs="Times New Roman"/>
          <w:vertAlign w:val="superscript"/>
        </w:rPr>
        <w:t>12</w:t>
      </w:r>
      <w:r w:rsidRPr="00710644">
        <w:rPr>
          <w:rFonts w:ascii="Times New Roman" w:hAnsi="Times New Roman" w:cs="Times New Roman"/>
          <w:vertAlign w:val="superscript"/>
          <w:lang w:val="en-US"/>
        </w:rPr>
        <w:t xml:space="preserve"> </w:t>
      </w:r>
      <w:r w:rsidRPr="00710644">
        <w:rPr>
          <w:rFonts w:ascii="Times New Roman" w:hAnsi="Times New Roman" w:cs="Times New Roman"/>
        </w:rPr>
        <w:t>A study of pediatric patients admitted to U.S. hospitals with meningitis reported a median hospital stay of 14 days.</w:t>
      </w:r>
      <w:r w:rsidRPr="00710644">
        <w:rPr>
          <w:rFonts w:ascii="Times New Roman" w:hAnsi="Times New Roman" w:cs="Times New Roman"/>
          <w:vertAlign w:val="superscript"/>
        </w:rPr>
        <w:t>22</w:t>
      </w:r>
      <w:r w:rsidRPr="00710644">
        <w:rPr>
          <w:rFonts w:ascii="Times New Roman" w:hAnsi="Times New Roman" w:cs="Times New Roman"/>
        </w:rPr>
        <w:t xml:space="preserve"> In a cohort study of 144 adult patients, Panic et al. reported a median hospital stay of 27 days.</w:t>
      </w:r>
      <w:r w:rsidRPr="00710644">
        <w:rPr>
          <w:rFonts w:ascii="Times New Roman" w:hAnsi="Times New Roman" w:cs="Times New Roman"/>
          <w:vertAlign w:val="superscript"/>
        </w:rPr>
        <w:t>23</w:t>
      </w:r>
      <w:r w:rsidRPr="00710644">
        <w:rPr>
          <w:rFonts w:ascii="Times New Roman" w:hAnsi="Times New Roman" w:cs="Times New Roman"/>
        </w:rPr>
        <w:t xml:space="preserve"> In comparison, our median hospital stay of 23 days in culture-positive patients reflects a substantial healthcare burden, although shorter than some reported series, possibly due to differences in case severity and institutional practices.</w:t>
      </w:r>
    </w:p>
    <w:p w14:paraId="113AEFE1"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The high prevalence of MDR organisms in our cohort has important therapeutic implications. Recent studies have explored the role of intrathecal or intraventricular antibiotic administration, particularly polymyxins and tigecycline, in improving outcomes in MDR gram-negative meningitis. For instance, combined intravenous and intraventricular polymyxin therapy has been associated with improved clinical and microbiological outcomes in patients with resistant infections.</w:t>
      </w:r>
      <w:r w:rsidRPr="00710644">
        <w:rPr>
          <w:rFonts w:ascii="Times New Roman" w:hAnsi="Times New Roman" w:cs="Times New Roman"/>
          <w:vertAlign w:val="superscript"/>
        </w:rPr>
        <w:t>24</w:t>
      </w:r>
      <w:r w:rsidRPr="00710644">
        <w:rPr>
          <w:rFonts w:ascii="Times New Roman" w:hAnsi="Times New Roman" w:cs="Times New Roman"/>
        </w:rPr>
        <w:t xml:space="preserve"> Similarly, intrathecal tigecycline has demonstrated higher microbiological clearance rates compared to intravenous therapy alone.</w:t>
      </w:r>
      <w:r w:rsidRPr="00710644">
        <w:rPr>
          <w:rFonts w:ascii="Times New Roman" w:hAnsi="Times New Roman" w:cs="Times New Roman"/>
          <w:vertAlign w:val="superscript"/>
        </w:rPr>
        <w:t>19</w:t>
      </w:r>
      <w:r w:rsidRPr="00710644">
        <w:rPr>
          <w:rFonts w:ascii="Times New Roman" w:hAnsi="Times New Roman" w:cs="Times New Roman"/>
        </w:rPr>
        <w:t xml:space="preserve"> The increased use of intrathecal antibiotics in culture-positive patients in our study reflects this evolving therapeutic approach.</w:t>
      </w:r>
    </w:p>
    <w:p w14:paraId="113AEFE2"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Interestingly, excision of space-occupying lesions (SOL) was associated with lower odds of culture-positive meningitis in our study. However, this finding should be interpreted with caution. It is possible that this association reflects residual confounding, differences in surgical complexity, or variations in perioperative antibiotic use rather than a true protective effect. Larger prospective studies are required to validate this observation.</w:t>
      </w:r>
    </w:p>
    <w:p w14:paraId="113AEFE3"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This study provides a decade-long analysis of post-neurosurgical meningitis from a high-volume tertiary care center in a low- and middle-income country, offering valuable insights into the evolving microbiological spectrum and antimicrobial resistance patterns in this setting. The comparative evaluation of culture-positive and culture-negative cases adds clinical relevance by addressing a common diagnostic dilemma in neurosurgical practice. Additionally, the inclusion of detailed clinical, microbiological, and outcome data allows for a comprehensive assessment of factors associated with disease severity and prognosis.</w:t>
      </w:r>
    </w:p>
    <w:p w14:paraId="113AEFE4"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rPr>
        <w:t>However, certain limitations should be acknowledged. The single-center design may limit the generalizability of the findings to other institutions with different patient populations and infection control practices. The retrospective nature of the study introduces the possibility of selection and information bias, including incomplete documentation and unmeasured confounders. The relatively small sample size may have limited the statistical power to detect significant associations for some variables. Furthermore, the lack of advanced diagnostic modalities, such as molecular assays or metagenomic sequencing, may have contributed to the high proportion of culture-negative cases. Data on prior antibiotic exposure and standardized severity scoring were also not consistently available, which could influence both culture yield and clinical outcomes.</w:t>
      </w:r>
    </w:p>
    <w:p w14:paraId="113AEFE5" w14:textId="77777777" w:rsidR="001B7F87" w:rsidRPr="00710644" w:rsidRDefault="00710644" w:rsidP="00252F4D">
      <w:pPr>
        <w:jc w:val="both"/>
        <w:rPr>
          <w:rFonts w:ascii="Times New Roman" w:hAnsi="Times New Roman" w:cs="Times New Roman"/>
          <w:color w:val="000000"/>
        </w:rPr>
      </w:pPr>
      <w:r w:rsidRPr="00710644">
        <w:rPr>
          <w:rFonts w:ascii="Times New Roman" w:hAnsi="Times New Roman" w:cs="Times New Roman"/>
          <w:color w:val="000000"/>
        </w:rPr>
        <w:t>The findings of this study are particularly relevant to low- and middle-income countries, where the burden of antimicrobial resistance is disproportionately high. Limited access to advanced diagnostics, suboptimal infection control practices, and widespread empirical antibiotic use contribute to the emergence of MDR pathogens in neurosurgical units. Our results highlight the urgent need for region-specific antimicrobial stewardship programs and infection control interventions.</w:t>
      </w:r>
      <w:r w:rsidRPr="00710644">
        <w:rPr>
          <w:rFonts w:ascii="Times New Roman" w:hAnsi="Times New Roman" w:cs="Times New Roman"/>
        </w:rPr>
        <w:t xml:space="preserve"> </w:t>
      </w:r>
      <w:r w:rsidRPr="00710644">
        <w:rPr>
          <w:rFonts w:ascii="Times New Roman" w:hAnsi="Times New Roman" w:cs="Times New Roman"/>
          <w:color w:val="000000"/>
        </w:rPr>
        <w:t xml:space="preserve">Future research should focus on integrating molecular diagnostic techniques to improve pathogen detection, evaluating standardized treatment protocols for MDR infections, and identifying modifiable risk factors to reduce infection rates. Multicenter </w:t>
      </w:r>
      <w:r w:rsidRPr="00710644">
        <w:rPr>
          <w:rFonts w:ascii="Times New Roman" w:hAnsi="Times New Roman" w:cs="Times New Roman"/>
          <w:color w:val="000000"/>
        </w:rPr>
        <w:lastRenderedPageBreak/>
        <w:t>prospective studies are needed to better define optimal management strategies for both culture-positive and culture-negative post-neurosurgical meningitis.</w:t>
      </w:r>
    </w:p>
    <w:p w14:paraId="113AEFE6" w14:textId="77777777" w:rsidR="001B7F87" w:rsidRPr="00710644" w:rsidRDefault="001B7F87" w:rsidP="00252F4D">
      <w:pPr>
        <w:jc w:val="both"/>
        <w:rPr>
          <w:rFonts w:ascii="Times New Roman" w:hAnsi="Times New Roman" w:cs="Times New Roman"/>
          <w:color w:val="000000"/>
        </w:rPr>
      </w:pPr>
    </w:p>
    <w:p w14:paraId="113AEFE7" w14:textId="77777777" w:rsidR="001B7F87" w:rsidRPr="00710644" w:rsidRDefault="00710644" w:rsidP="00252F4D">
      <w:pPr>
        <w:jc w:val="both"/>
        <w:rPr>
          <w:rFonts w:ascii="Times New Roman" w:hAnsi="Times New Roman" w:cs="Times New Roman"/>
        </w:rPr>
      </w:pPr>
      <w:r w:rsidRPr="00710644">
        <w:rPr>
          <w:rFonts w:ascii="Times New Roman" w:hAnsi="Times New Roman" w:cs="Times New Roman"/>
          <w:b/>
          <w:bCs/>
          <w:color w:val="000000"/>
        </w:rPr>
        <w:t>Conclusion:</w:t>
      </w:r>
      <w:r w:rsidR="00252F4D">
        <w:rPr>
          <w:rFonts w:ascii="Times New Roman" w:hAnsi="Times New Roman" w:cs="Times New Roman"/>
          <w:b/>
          <w:bCs/>
          <w:color w:val="000000"/>
        </w:rPr>
        <w:t xml:space="preserve"> </w:t>
      </w:r>
      <w:r w:rsidRPr="00710644">
        <w:rPr>
          <w:rFonts w:ascii="Times New Roman" w:hAnsi="Times New Roman" w:cs="Times New Roman"/>
        </w:rPr>
        <w:t>Culture-positive post-neurosurgical meningitis is associated with multidrug-resistant gram-negative pathogens and worse clinical outcomes. The high proportion of culture-negative cases highlights limitations in conventional diagnostics. Future studies incorporating molecular diagnostics and standardized infection control strategies are essential to improve patient outcomes in neurosurgical settings.</w:t>
      </w:r>
    </w:p>
    <w:p w14:paraId="113AEFE8" w14:textId="0AC9ED86" w:rsidR="00710644" w:rsidRPr="00710644" w:rsidRDefault="00710644" w:rsidP="00710644">
      <w:pPr>
        <w:rPr>
          <w:rFonts w:ascii="Times New Roman" w:hAnsi="Times New Roman" w:cs="Times New Roman"/>
        </w:rPr>
      </w:pPr>
      <w:r w:rsidRPr="00710644">
        <w:rPr>
          <w:rFonts w:ascii="Times New Roman" w:hAnsi="Times New Roman" w:cs="Times New Roman"/>
          <w:b/>
          <w:bCs/>
        </w:rPr>
        <w:t xml:space="preserve">Ethical Approval: </w:t>
      </w:r>
      <w:r w:rsidRPr="00710644">
        <w:rPr>
          <w:rFonts w:ascii="Times New Roman" w:hAnsi="Times New Roman" w:cs="Times New Roman"/>
        </w:rPr>
        <w:t>The IRB/EC approved this study via letter no. ERC No. 2023-8786-25366</w:t>
      </w:r>
      <w:r w:rsidR="00BD29EF">
        <w:rPr>
          <w:rFonts w:ascii="Times New Roman" w:hAnsi="Times New Roman" w:cs="Times New Roman"/>
        </w:rPr>
        <w:t xml:space="preserve"> dated </w:t>
      </w:r>
      <w:r w:rsidR="00D87684">
        <w:rPr>
          <w:rFonts w:ascii="Times New Roman" w:hAnsi="Times New Roman" w:cs="Times New Roman"/>
        </w:rPr>
        <w:t>July 01, 2023.</w:t>
      </w:r>
    </w:p>
    <w:p w14:paraId="113AEFE9" w14:textId="77777777" w:rsidR="00710644" w:rsidRPr="00710644" w:rsidRDefault="00710644" w:rsidP="00710644">
      <w:pPr>
        <w:rPr>
          <w:rFonts w:ascii="Times New Roman" w:hAnsi="Times New Roman" w:cs="Times New Roman"/>
          <w:b/>
          <w:bCs/>
        </w:rPr>
      </w:pPr>
      <w:r w:rsidRPr="00710644">
        <w:rPr>
          <w:rFonts w:ascii="Times New Roman" w:hAnsi="Times New Roman" w:cs="Times New Roman"/>
          <w:b/>
          <w:bCs/>
        </w:rPr>
        <w:t xml:space="preserve">Conflict of Interest: </w:t>
      </w:r>
      <w:r w:rsidRPr="00710644">
        <w:rPr>
          <w:rFonts w:ascii="Times New Roman" w:hAnsi="Times New Roman" w:cs="Times New Roman"/>
          <w:b/>
          <w:bCs/>
        </w:rPr>
        <w:tab/>
      </w:r>
      <w:r w:rsidRPr="00710644">
        <w:rPr>
          <w:rFonts w:ascii="Times New Roman" w:hAnsi="Times New Roman" w:cs="Times New Roman"/>
          <w:b/>
          <w:bCs/>
        </w:rPr>
        <w:tab/>
      </w:r>
      <w:r w:rsidRPr="00710644">
        <w:rPr>
          <w:rFonts w:ascii="Times New Roman" w:hAnsi="Times New Roman" w:cs="Times New Roman"/>
          <w:b/>
          <w:bCs/>
        </w:rPr>
        <w:tab/>
      </w:r>
      <w:r w:rsidRPr="00710644">
        <w:rPr>
          <w:rFonts w:ascii="Times New Roman" w:hAnsi="Times New Roman" w:cs="Times New Roman"/>
        </w:rPr>
        <w:t>None</w:t>
      </w:r>
      <w:r w:rsidRPr="00710644">
        <w:rPr>
          <w:rFonts w:ascii="Times New Roman" w:hAnsi="Times New Roman" w:cs="Times New Roman"/>
          <w:b/>
          <w:bCs/>
        </w:rPr>
        <w:t xml:space="preserve"> </w:t>
      </w:r>
    </w:p>
    <w:p w14:paraId="113AEFEA" w14:textId="77777777" w:rsidR="00710644" w:rsidRPr="00710644" w:rsidRDefault="00710644" w:rsidP="00710644">
      <w:pPr>
        <w:rPr>
          <w:rFonts w:ascii="Times New Roman" w:hAnsi="Times New Roman" w:cs="Times New Roman"/>
          <w:b/>
          <w:bCs/>
        </w:rPr>
      </w:pPr>
      <w:r w:rsidRPr="00710644">
        <w:rPr>
          <w:rFonts w:ascii="Times New Roman" w:hAnsi="Times New Roman" w:cs="Times New Roman"/>
          <w:b/>
          <w:bCs/>
        </w:rPr>
        <w:t xml:space="preserve">Funding Source: </w:t>
      </w:r>
      <w:r w:rsidRPr="00710644">
        <w:rPr>
          <w:rFonts w:ascii="Times New Roman" w:hAnsi="Times New Roman" w:cs="Times New Roman"/>
          <w:b/>
          <w:bCs/>
        </w:rPr>
        <w:tab/>
      </w:r>
      <w:r w:rsidRPr="00710644">
        <w:rPr>
          <w:rFonts w:ascii="Times New Roman" w:hAnsi="Times New Roman" w:cs="Times New Roman"/>
          <w:b/>
          <w:bCs/>
        </w:rPr>
        <w:tab/>
      </w:r>
      <w:r w:rsidRPr="00710644">
        <w:rPr>
          <w:rFonts w:ascii="Times New Roman" w:hAnsi="Times New Roman" w:cs="Times New Roman"/>
          <w:b/>
          <w:bCs/>
        </w:rPr>
        <w:tab/>
      </w:r>
      <w:r w:rsidRPr="00710644">
        <w:rPr>
          <w:rFonts w:ascii="Times New Roman" w:hAnsi="Times New Roman" w:cs="Times New Roman"/>
        </w:rPr>
        <w:t xml:space="preserve">None </w:t>
      </w:r>
      <w:r w:rsidRPr="00710644">
        <w:rPr>
          <w:rFonts w:ascii="Times New Roman" w:hAnsi="Times New Roman" w:cs="Times New Roman"/>
          <w:b/>
          <w:bCs/>
        </w:rPr>
        <w:t xml:space="preserve">  </w:t>
      </w:r>
    </w:p>
    <w:p w14:paraId="113AEFEB" w14:textId="77777777" w:rsidR="00710644" w:rsidRPr="00710644" w:rsidRDefault="00710644" w:rsidP="00710644">
      <w:pPr>
        <w:rPr>
          <w:rFonts w:ascii="Times New Roman" w:hAnsi="Times New Roman" w:cs="Times New Roman"/>
          <w:b/>
          <w:bCs/>
        </w:rPr>
      </w:pPr>
      <w:r w:rsidRPr="00710644">
        <w:rPr>
          <w:rFonts w:ascii="Times New Roman" w:hAnsi="Times New Roman" w:cs="Times New Roman"/>
          <w:b/>
          <w:bCs/>
        </w:rPr>
        <w:t>Authors’ Contribution</w:t>
      </w:r>
    </w:p>
    <w:p w14:paraId="113AEFEC"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 xml:space="preserve">FI: Conception. </w:t>
      </w:r>
    </w:p>
    <w:p w14:paraId="113AEFED"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IK, NN: Design of the work.</w:t>
      </w:r>
    </w:p>
    <w:p w14:paraId="113AEFEE"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 xml:space="preserve">SB, SMS, SS: Data acquisition, analysis, or interpretation. </w:t>
      </w:r>
    </w:p>
    <w:p w14:paraId="113AEFEF"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FI, SB, SMS, SS: Draft the work.</w:t>
      </w:r>
    </w:p>
    <w:p w14:paraId="113AEFF0"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IK, NN: Review critically for important intellectual content.</w:t>
      </w:r>
    </w:p>
    <w:p w14:paraId="113AEFF1" w14:textId="77777777" w:rsidR="00710644" w:rsidRPr="00710644" w:rsidRDefault="00710644" w:rsidP="00710644">
      <w:pPr>
        <w:rPr>
          <w:rFonts w:ascii="Times New Roman" w:hAnsi="Times New Roman" w:cs="Times New Roman"/>
        </w:rPr>
      </w:pPr>
      <w:r w:rsidRPr="00710644">
        <w:rPr>
          <w:rFonts w:ascii="Times New Roman" w:hAnsi="Times New Roman" w:cs="Times New Roman"/>
        </w:rPr>
        <w:t>All authors approve the version to be published.</w:t>
      </w:r>
    </w:p>
    <w:p w14:paraId="113AEFF2" w14:textId="77777777" w:rsidR="001B7F87" w:rsidRPr="00710644" w:rsidRDefault="00710644" w:rsidP="00710644">
      <w:pPr>
        <w:rPr>
          <w:rFonts w:ascii="Times New Roman" w:hAnsi="Times New Roman" w:cs="Times New Roman"/>
          <w:b/>
          <w:bCs/>
        </w:rPr>
      </w:pPr>
      <w:r w:rsidRPr="00710644">
        <w:rPr>
          <w:rFonts w:ascii="Times New Roman" w:hAnsi="Times New Roman" w:cs="Times New Roman"/>
        </w:rPr>
        <w:t>All authors agree to be accountable for all aspects of the work.</w:t>
      </w:r>
    </w:p>
    <w:p w14:paraId="113AEFF3" w14:textId="77777777" w:rsidR="001B7F87" w:rsidRPr="00710644" w:rsidRDefault="001B7F87" w:rsidP="00710644">
      <w:pPr>
        <w:rPr>
          <w:rFonts w:ascii="Times New Roman" w:hAnsi="Times New Roman" w:cs="Times New Roman"/>
        </w:rPr>
      </w:pPr>
    </w:p>
    <w:p w14:paraId="113AEFF4" w14:textId="77777777" w:rsidR="001B7F87" w:rsidRPr="00995B3F" w:rsidRDefault="00995B3F" w:rsidP="00710644">
      <w:pPr>
        <w:rPr>
          <w:rFonts w:ascii="Times New Roman" w:hAnsi="Times New Roman" w:cs="Times New Roman"/>
          <w:b/>
          <w:bCs/>
          <w:sz w:val="20"/>
        </w:rPr>
      </w:pPr>
      <w:r>
        <w:rPr>
          <w:rFonts w:ascii="Times New Roman" w:hAnsi="Times New Roman" w:cs="Times New Roman"/>
          <w:b/>
          <w:bCs/>
          <w:sz w:val="20"/>
        </w:rPr>
        <w:t>References</w:t>
      </w:r>
    </w:p>
    <w:p w14:paraId="113AEFF5" w14:textId="77777777" w:rsidR="001B7F87" w:rsidRPr="00995B3F" w:rsidRDefault="00710644" w:rsidP="00995B3F">
      <w:pPr>
        <w:pStyle w:val="ListParagraph"/>
        <w:numPr>
          <w:ilvl w:val="0"/>
          <w:numId w:val="2"/>
        </w:numPr>
        <w:jc w:val="both"/>
        <w:rPr>
          <w:rFonts w:ascii="Times New Roman" w:hAnsi="Times New Roman" w:cs="Times New Roman"/>
          <w:sz w:val="20"/>
        </w:rPr>
      </w:pPr>
      <w:proofErr w:type="spellStart"/>
      <w:r w:rsidRPr="00995B3F">
        <w:rPr>
          <w:rFonts w:ascii="Times New Roman" w:hAnsi="Times New Roman" w:cs="Times New Roman"/>
          <w:sz w:val="20"/>
        </w:rPr>
        <w:t>Kurtaran</w:t>
      </w:r>
      <w:proofErr w:type="spellEnd"/>
      <w:r w:rsidRPr="00995B3F">
        <w:rPr>
          <w:rFonts w:ascii="Times New Roman" w:hAnsi="Times New Roman" w:cs="Times New Roman"/>
          <w:sz w:val="20"/>
        </w:rPr>
        <w:t xml:space="preserve"> B, Kuscu F, Ulu A, Inal AS, </w:t>
      </w:r>
      <w:proofErr w:type="spellStart"/>
      <w:r w:rsidRPr="00995B3F">
        <w:rPr>
          <w:rFonts w:ascii="Times New Roman" w:hAnsi="Times New Roman" w:cs="Times New Roman"/>
          <w:sz w:val="20"/>
        </w:rPr>
        <w:t>Komur</w:t>
      </w:r>
      <w:proofErr w:type="spellEnd"/>
      <w:r w:rsidRPr="00995B3F">
        <w:rPr>
          <w:rFonts w:ascii="Times New Roman" w:hAnsi="Times New Roman" w:cs="Times New Roman"/>
          <w:sz w:val="20"/>
        </w:rPr>
        <w:t xml:space="preserve"> S, Kibar F, et al. The Causes of Postoperative Meningitis: The Comparison of Gram-Negative and Gram-Positive Pathogens. Turk </w:t>
      </w:r>
      <w:proofErr w:type="spellStart"/>
      <w:r w:rsidRPr="00995B3F">
        <w:rPr>
          <w:rFonts w:ascii="Times New Roman" w:hAnsi="Times New Roman" w:cs="Times New Roman"/>
          <w:sz w:val="20"/>
        </w:rPr>
        <w:t>Neurosurg</w:t>
      </w:r>
      <w:proofErr w:type="spellEnd"/>
      <w:r w:rsidRPr="00995B3F">
        <w:rPr>
          <w:rFonts w:ascii="Times New Roman" w:hAnsi="Times New Roman" w:cs="Times New Roman"/>
          <w:sz w:val="20"/>
        </w:rPr>
        <w:t xml:space="preserve">. 2018;28(4):589-96. </w:t>
      </w:r>
    </w:p>
    <w:p w14:paraId="113AEFF6" w14:textId="77777777" w:rsidR="001B7F87" w:rsidRPr="00995B3F" w:rsidRDefault="00710644" w:rsidP="00995B3F">
      <w:pPr>
        <w:pStyle w:val="ListParagraph"/>
        <w:numPr>
          <w:ilvl w:val="0"/>
          <w:numId w:val="2"/>
        </w:numPr>
        <w:jc w:val="both"/>
        <w:rPr>
          <w:rFonts w:ascii="Times New Roman" w:hAnsi="Times New Roman" w:cs="Times New Roman"/>
          <w:sz w:val="20"/>
        </w:rPr>
      </w:pPr>
      <w:proofErr w:type="spellStart"/>
      <w:r w:rsidRPr="00995B3F">
        <w:rPr>
          <w:rFonts w:ascii="Times New Roman" w:hAnsi="Times New Roman" w:cs="Times New Roman"/>
          <w:sz w:val="20"/>
        </w:rPr>
        <w:t>Kizilates</w:t>
      </w:r>
      <w:proofErr w:type="spellEnd"/>
      <w:r w:rsidRPr="00995B3F">
        <w:rPr>
          <w:rFonts w:ascii="Times New Roman" w:hAnsi="Times New Roman" w:cs="Times New Roman"/>
          <w:sz w:val="20"/>
        </w:rPr>
        <w:t>, F., A.S. Keskin, and K.D. Onder, Clinical Features of Post-Operative Nosocomial Meningitis in Adults and Evaluation of Efficiency of Intrathecal Treatment. Surg Infect (</w:t>
      </w:r>
      <w:proofErr w:type="spellStart"/>
      <w:r w:rsidRPr="00995B3F">
        <w:rPr>
          <w:rFonts w:ascii="Times New Roman" w:hAnsi="Times New Roman" w:cs="Times New Roman"/>
          <w:sz w:val="20"/>
        </w:rPr>
        <w:t>Larchmt</w:t>
      </w:r>
      <w:proofErr w:type="spellEnd"/>
      <w:r w:rsidRPr="00995B3F">
        <w:rPr>
          <w:rFonts w:ascii="Times New Roman" w:hAnsi="Times New Roman" w:cs="Times New Roman"/>
          <w:sz w:val="20"/>
        </w:rPr>
        <w:t xml:space="preserve">), 2021. 22(10): 1059-63. </w:t>
      </w:r>
    </w:p>
    <w:p w14:paraId="113AEFF7" w14:textId="77777777" w:rsidR="001B7F87" w:rsidRPr="00995B3F" w:rsidRDefault="00710644" w:rsidP="00995B3F">
      <w:pPr>
        <w:pStyle w:val="ListParagraph"/>
        <w:numPr>
          <w:ilvl w:val="0"/>
          <w:numId w:val="2"/>
        </w:numPr>
        <w:jc w:val="both"/>
        <w:rPr>
          <w:rFonts w:ascii="Times New Roman" w:hAnsi="Times New Roman" w:cs="Times New Roman"/>
          <w:sz w:val="20"/>
          <w:lang w:val="sv-SE"/>
        </w:rPr>
      </w:pPr>
      <w:r w:rsidRPr="00995B3F">
        <w:rPr>
          <w:rFonts w:ascii="Times New Roman" w:hAnsi="Times New Roman" w:cs="Times New Roman"/>
          <w:sz w:val="20"/>
        </w:rPr>
        <w:t xml:space="preserve">Rogers T, Sok K, Erickson T, Aguilera E, Wootton SH, Murray KO, et al. Impact of Antibiotic Therapy in the Microbiological Yield of Healthcare-Associated Ventriculitis and Meningitis. </w:t>
      </w:r>
      <w:r w:rsidRPr="00995B3F">
        <w:rPr>
          <w:rFonts w:ascii="Times New Roman" w:hAnsi="Times New Roman" w:cs="Times New Roman"/>
          <w:sz w:val="20"/>
          <w:lang w:val="sv-SE"/>
        </w:rPr>
        <w:t>Open Forum Infect Dis. 2019;6(3):ofz</w:t>
      </w:r>
      <w:r w:rsidR="00D55918" w:rsidRPr="00995B3F">
        <w:rPr>
          <w:rFonts w:ascii="Times New Roman" w:hAnsi="Times New Roman" w:cs="Times New Roman"/>
          <w:sz w:val="20"/>
          <w:lang w:val="sv-SE"/>
        </w:rPr>
        <w:t>050.</w:t>
      </w:r>
    </w:p>
    <w:p w14:paraId="113AEFF8"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lang w:val="sv-SE"/>
        </w:rPr>
        <w:t xml:space="preserve">van de Beek D, Drake JM, Tunkel AR. </w:t>
      </w:r>
      <w:r w:rsidRPr="00995B3F">
        <w:rPr>
          <w:rFonts w:ascii="Times New Roman" w:hAnsi="Times New Roman" w:cs="Times New Roman"/>
          <w:sz w:val="20"/>
        </w:rPr>
        <w:t>Nosocomial bact</w:t>
      </w:r>
      <w:r w:rsidR="00995B3F" w:rsidRPr="00995B3F">
        <w:rPr>
          <w:rFonts w:ascii="Times New Roman" w:hAnsi="Times New Roman" w:cs="Times New Roman"/>
          <w:sz w:val="20"/>
        </w:rPr>
        <w:t xml:space="preserve">erial meningitis. N Engl J Med. </w:t>
      </w:r>
      <w:r w:rsidRPr="00995B3F">
        <w:rPr>
          <w:rFonts w:ascii="Times New Roman" w:hAnsi="Times New Roman" w:cs="Times New Roman"/>
          <w:sz w:val="20"/>
        </w:rPr>
        <w:t xml:space="preserve">2010;362(2):146-54. </w:t>
      </w:r>
    </w:p>
    <w:p w14:paraId="113AEFF9"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Kul G, </w:t>
      </w:r>
      <w:proofErr w:type="spellStart"/>
      <w:r w:rsidRPr="00995B3F">
        <w:rPr>
          <w:rFonts w:ascii="Times New Roman" w:hAnsi="Times New Roman" w:cs="Times New Roman"/>
          <w:sz w:val="20"/>
        </w:rPr>
        <w:t>Sencan</w:t>
      </w:r>
      <w:proofErr w:type="spellEnd"/>
      <w:r w:rsidRPr="00995B3F">
        <w:rPr>
          <w:rFonts w:ascii="Times New Roman" w:hAnsi="Times New Roman" w:cs="Times New Roman"/>
          <w:sz w:val="20"/>
        </w:rPr>
        <w:t xml:space="preserve"> I, Kul H, Korkmaz N, </w:t>
      </w:r>
      <w:proofErr w:type="spellStart"/>
      <w:r w:rsidRPr="00995B3F">
        <w:rPr>
          <w:rFonts w:ascii="Times New Roman" w:hAnsi="Times New Roman" w:cs="Times New Roman"/>
          <w:sz w:val="20"/>
        </w:rPr>
        <w:t>Altunay</w:t>
      </w:r>
      <w:proofErr w:type="spellEnd"/>
      <w:r w:rsidRPr="00995B3F">
        <w:rPr>
          <w:rFonts w:ascii="Times New Roman" w:hAnsi="Times New Roman" w:cs="Times New Roman"/>
          <w:sz w:val="20"/>
        </w:rPr>
        <w:t xml:space="preserve"> E. The Role of Cerebrospinal Fluid Biomarkers in the Diagnosis of Post-Neurosurgical Meningitis. Tu</w:t>
      </w:r>
      <w:r w:rsidR="00995B3F" w:rsidRPr="00995B3F">
        <w:rPr>
          <w:rFonts w:ascii="Times New Roman" w:hAnsi="Times New Roman" w:cs="Times New Roman"/>
          <w:sz w:val="20"/>
        </w:rPr>
        <w:t xml:space="preserve">rk </w:t>
      </w:r>
      <w:proofErr w:type="spellStart"/>
      <w:r w:rsidR="00995B3F" w:rsidRPr="00995B3F">
        <w:rPr>
          <w:rFonts w:ascii="Times New Roman" w:hAnsi="Times New Roman" w:cs="Times New Roman"/>
          <w:sz w:val="20"/>
        </w:rPr>
        <w:t>Neurosurg</w:t>
      </w:r>
      <w:proofErr w:type="spellEnd"/>
      <w:r w:rsidR="00995B3F" w:rsidRPr="00995B3F">
        <w:rPr>
          <w:rFonts w:ascii="Times New Roman" w:hAnsi="Times New Roman" w:cs="Times New Roman"/>
          <w:sz w:val="20"/>
        </w:rPr>
        <w:t>. 2020;30(4):513-9.</w:t>
      </w:r>
    </w:p>
    <w:p w14:paraId="113AEFFA"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Chidambaram S, Nair MN, Krishnan SS, Cai L, Gu W, Vasudevan MC. Postoperative Central Nervous System Infection After Neurosurgery in a Modernized, Resource-Limited Tertiary Neurosurgical Center in South Asia. World </w:t>
      </w:r>
      <w:proofErr w:type="spellStart"/>
      <w:r w:rsidRPr="00995B3F">
        <w:rPr>
          <w:rFonts w:ascii="Times New Roman" w:hAnsi="Times New Roman" w:cs="Times New Roman"/>
          <w:sz w:val="20"/>
        </w:rPr>
        <w:t>Neurosurg</w:t>
      </w:r>
      <w:proofErr w:type="spellEnd"/>
      <w:r w:rsidRPr="00995B3F">
        <w:rPr>
          <w:rFonts w:ascii="Times New Roman" w:hAnsi="Times New Roman" w:cs="Times New Roman"/>
          <w:sz w:val="20"/>
        </w:rPr>
        <w:t xml:space="preserve">. 2015;84(6):1668-73. </w:t>
      </w:r>
    </w:p>
    <w:p w14:paraId="113AEFFB" w14:textId="77777777" w:rsidR="001B7F87" w:rsidRPr="00995B3F" w:rsidRDefault="00710644" w:rsidP="00995B3F">
      <w:pPr>
        <w:pStyle w:val="ListParagraph"/>
        <w:numPr>
          <w:ilvl w:val="0"/>
          <w:numId w:val="2"/>
        </w:numPr>
        <w:jc w:val="both"/>
        <w:rPr>
          <w:rFonts w:ascii="Times New Roman" w:hAnsi="Times New Roman" w:cs="Times New Roman"/>
          <w:sz w:val="20"/>
        </w:rPr>
      </w:pPr>
      <w:proofErr w:type="spellStart"/>
      <w:r w:rsidRPr="00995B3F">
        <w:rPr>
          <w:rFonts w:ascii="Times New Roman" w:hAnsi="Times New Roman" w:cs="Times New Roman"/>
          <w:sz w:val="20"/>
        </w:rPr>
        <w:t>Bratzler</w:t>
      </w:r>
      <w:proofErr w:type="spellEnd"/>
      <w:r w:rsidRPr="00995B3F">
        <w:rPr>
          <w:rFonts w:ascii="Times New Roman" w:hAnsi="Times New Roman" w:cs="Times New Roman"/>
          <w:sz w:val="20"/>
        </w:rPr>
        <w:t xml:space="preserve"> DW, Dellinger EP, Olsen KM, Perl TM, Auwaerter PG, Bolon MK, et al. American Society of Health-System Pharmacists (ASHP); Infectious Diseases Society of America (IDSA); Surgical Infection Society (SIS); Society for Healthcare Epidemiology of America (SHEA). Clinical practice guidelines for antimicrobial prophylaxis in surgery. Surg Infect (</w:t>
      </w:r>
      <w:proofErr w:type="spellStart"/>
      <w:r w:rsidRPr="00995B3F">
        <w:rPr>
          <w:rFonts w:ascii="Times New Roman" w:hAnsi="Times New Roman" w:cs="Times New Roman"/>
          <w:sz w:val="20"/>
        </w:rPr>
        <w:t>Larchmt</w:t>
      </w:r>
      <w:proofErr w:type="spellEnd"/>
      <w:r w:rsidRPr="00995B3F">
        <w:rPr>
          <w:rFonts w:ascii="Times New Roman" w:hAnsi="Times New Roman" w:cs="Times New Roman"/>
          <w:sz w:val="20"/>
        </w:rPr>
        <w:t xml:space="preserve">). 2013;14(1):73-156. </w:t>
      </w:r>
    </w:p>
    <w:p w14:paraId="113AEFFC"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Raza MS, Das BK, Goyal V, Lodha R, Chaudhry R, Sood S, et al. Emerging multidrug resistance isolates of hospital-acquired bacterial meningitis in a tertiary care </w:t>
      </w:r>
      <w:proofErr w:type="spellStart"/>
      <w:r w:rsidRPr="00995B3F">
        <w:rPr>
          <w:rFonts w:ascii="Times New Roman" w:hAnsi="Times New Roman" w:cs="Times New Roman"/>
          <w:sz w:val="20"/>
        </w:rPr>
        <w:t>centre</w:t>
      </w:r>
      <w:proofErr w:type="spellEnd"/>
      <w:r w:rsidRPr="00995B3F">
        <w:rPr>
          <w:rFonts w:ascii="Times New Roman" w:hAnsi="Times New Roman" w:cs="Times New Roman"/>
          <w:sz w:val="20"/>
        </w:rPr>
        <w:t xml:space="preserve"> in North India. J Med </w:t>
      </w:r>
      <w:proofErr w:type="spellStart"/>
      <w:r w:rsidRPr="00995B3F">
        <w:rPr>
          <w:rFonts w:ascii="Times New Roman" w:hAnsi="Times New Roman" w:cs="Times New Roman"/>
          <w:sz w:val="20"/>
        </w:rPr>
        <w:t>Microbiol</w:t>
      </w:r>
      <w:proofErr w:type="spellEnd"/>
      <w:r w:rsidRPr="00995B3F">
        <w:rPr>
          <w:rFonts w:ascii="Times New Roman" w:hAnsi="Times New Roman" w:cs="Times New Roman"/>
          <w:sz w:val="20"/>
        </w:rPr>
        <w:t xml:space="preserve">. 2019;68(11):1585-90. </w:t>
      </w:r>
    </w:p>
    <w:p w14:paraId="113AEFFD"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Langley JM, Gravel D, Moore D, Matlow A, Embree J, MacKinnon-</w:t>
      </w:r>
      <w:proofErr w:type="spellStart"/>
      <w:r w:rsidRPr="00995B3F">
        <w:rPr>
          <w:rFonts w:ascii="Times New Roman" w:hAnsi="Times New Roman" w:cs="Times New Roman"/>
          <w:sz w:val="20"/>
        </w:rPr>
        <w:t>Cameronet</w:t>
      </w:r>
      <w:proofErr w:type="spellEnd"/>
      <w:r w:rsidRPr="00995B3F">
        <w:rPr>
          <w:rFonts w:ascii="Times New Roman" w:hAnsi="Times New Roman" w:cs="Times New Roman"/>
          <w:sz w:val="20"/>
        </w:rPr>
        <w:t xml:space="preserve"> D, et al. Canadian Nosocomial Infection Surveillance Program. Study of cerebrospinal fluid shunt-associated infections in the first year following placement, by the Canadian Nosocomial Infection Surveillance Program. Infect Control Hosp Epidemiol. 2009;30(3):285-8. </w:t>
      </w:r>
    </w:p>
    <w:p w14:paraId="113AEFFE"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lastRenderedPageBreak/>
        <w:t xml:space="preserve">Filka J, </w:t>
      </w:r>
      <w:proofErr w:type="spellStart"/>
      <w:r w:rsidRPr="00995B3F">
        <w:rPr>
          <w:rFonts w:ascii="Times New Roman" w:hAnsi="Times New Roman" w:cs="Times New Roman"/>
          <w:sz w:val="20"/>
        </w:rPr>
        <w:t>Huttova</w:t>
      </w:r>
      <w:proofErr w:type="spellEnd"/>
      <w:r w:rsidRPr="00995B3F">
        <w:rPr>
          <w:rFonts w:ascii="Times New Roman" w:hAnsi="Times New Roman" w:cs="Times New Roman"/>
          <w:sz w:val="20"/>
        </w:rPr>
        <w:t xml:space="preserve"> M, </w:t>
      </w:r>
      <w:proofErr w:type="spellStart"/>
      <w:r w:rsidRPr="00995B3F">
        <w:rPr>
          <w:rFonts w:ascii="Times New Roman" w:hAnsi="Times New Roman" w:cs="Times New Roman"/>
          <w:sz w:val="20"/>
        </w:rPr>
        <w:t>Schwartzová</w:t>
      </w:r>
      <w:proofErr w:type="spellEnd"/>
      <w:r w:rsidRPr="00995B3F">
        <w:rPr>
          <w:rFonts w:ascii="Times New Roman" w:hAnsi="Times New Roman" w:cs="Times New Roman"/>
          <w:sz w:val="20"/>
        </w:rPr>
        <w:t xml:space="preserve"> D, Kurak M, </w:t>
      </w:r>
      <w:proofErr w:type="spellStart"/>
      <w:r w:rsidRPr="00995B3F">
        <w:rPr>
          <w:rFonts w:ascii="Times New Roman" w:hAnsi="Times New Roman" w:cs="Times New Roman"/>
          <w:sz w:val="20"/>
        </w:rPr>
        <w:t>Krcméryová</w:t>
      </w:r>
      <w:proofErr w:type="spellEnd"/>
      <w:r w:rsidRPr="00995B3F">
        <w:rPr>
          <w:rFonts w:ascii="Times New Roman" w:hAnsi="Times New Roman" w:cs="Times New Roman"/>
          <w:sz w:val="20"/>
        </w:rPr>
        <w:t xml:space="preserve"> T, </w:t>
      </w:r>
      <w:proofErr w:type="spellStart"/>
      <w:r w:rsidRPr="00995B3F">
        <w:rPr>
          <w:rFonts w:ascii="Times New Roman" w:hAnsi="Times New Roman" w:cs="Times New Roman"/>
          <w:sz w:val="20"/>
        </w:rPr>
        <w:t>Tuharský</w:t>
      </w:r>
      <w:proofErr w:type="spellEnd"/>
      <w:r w:rsidRPr="00995B3F">
        <w:rPr>
          <w:rFonts w:ascii="Times New Roman" w:hAnsi="Times New Roman" w:cs="Times New Roman"/>
          <w:sz w:val="20"/>
        </w:rPr>
        <w:t xml:space="preserve"> J, et al. Nosocomial meningitis due to Acinetobacter </w:t>
      </w:r>
      <w:proofErr w:type="spellStart"/>
      <w:r w:rsidRPr="00995B3F">
        <w:rPr>
          <w:rFonts w:ascii="Times New Roman" w:hAnsi="Times New Roman" w:cs="Times New Roman"/>
          <w:sz w:val="20"/>
        </w:rPr>
        <w:t>calcoaceticus</w:t>
      </w:r>
      <w:proofErr w:type="spellEnd"/>
      <w:r w:rsidRPr="00995B3F">
        <w:rPr>
          <w:rFonts w:ascii="Times New Roman" w:hAnsi="Times New Roman" w:cs="Times New Roman"/>
          <w:sz w:val="20"/>
        </w:rPr>
        <w:t xml:space="preserve"> in 10 children after ventriculoperitoneal shunt insertion. J Hosp Infect. 2000;44(1):76-7. </w:t>
      </w:r>
    </w:p>
    <w:p w14:paraId="113AEFFF"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Wang H, Zhu X. Cerebrospinal fluid culture-positive bacterial meningitis increases the risk for neurologic damage among neonates. Ann Med. 2021;53(1):2199-204. </w:t>
      </w:r>
    </w:p>
    <w:p w14:paraId="113AF000" w14:textId="77777777" w:rsidR="001B7F87" w:rsidRPr="00995B3F" w:rsidRDefault="00710644" w:rsidP="00995B3F">
      <w:pPr>
        <w:pStyle w:val="ListParagraph"/>
        <w:numPr>
          <w:ilvl w:val="0"/>
          <w:numId w:val="2"/>
        </w:numPr>
        <w:jc w:val="both"/>
        <w:rPr>
          <w:rFonts w:ascii="Times New Roman" w:hAnsi="Times New Roman" w:cs="Times New Roman"/>
          <w:sz w:val="20"/>
        </w:rPr>
      </w:pPr>
      <w:proofErr w:type="spellStart"/>
      <w:r w:rsidRPr="00995B3F">
        <w:rPr>
          <w:rFonts w:ascii="Times New Roman" w:hAnsi="Times New Roman" w:cs="Times New Roman"/>
          <w:sz w:val="20"/>
        </w:rPr>
        <w:t>Valdoleiros</w:t>
      </w:r>
      <w:proofErr w:type="spellEnd"/>
      <w:r w:rsidRPr="00995B3F">
        <w:rPr>
          <w:rFonts w:ascii="Times New Roman" w:hAnsi="Times New Roman" w:cs="Times New Roman"/>
          <w:sz w:val="20"/>
        </w:rPr>
        <w:t xml:space="preserve"> SR, </w:t>
      </w:r>
      <w:proofErr w:type="spellStart"/>
      <w:r w:rsidRPr="00995B3F">
        <w:rPr>
          <w:rFonts w:ascii="Times New Roman" w:hAnsi="Times New Roman" w:cs="Times New Roman"/>
          <w:sz w:val="20"/>
        </w:rPr>
        <w:t>Torrão</w:t>
      </w:r>
      <w:proofErr w:type="spellEnd"/>
      <w:r w:rsidRPr="00995B3F">
        <w:rPr>
          <w:rFonts w:ascii="Times New Roman" w:hAnsi="Times New Roman" w:cs="Times New Roman"/>
          <w:sz w:val="20"/>
        </w:rPr>
        <w:t xml:space="preserve"> C, Freitas LS, Mano D, Gonçalves C, Teixeira C. Nosocomial meningitis in intensive care: a 10-year retrospective study and literature review. Acute Crit Care. 2022;37(1):61-70. </w:t>
      </w:r>
    </w:p>
    <w:p w14:paraId="113AF001" w14:textId="77777777" w:rsidR="001B7F87" w:rsidRPr="00995B3F" w:rsidRDefault="00710644" w:rsidP="00995B3F">
      <w:pPr>
        <w:pStyle w:val="ListParagraph"/>
        <w:numPr>
          <w:ilvl w:val="0"/>
          <w:numId w:val="2"/>
        </w:numPr>
        <w:jc w:val="both"/>
        <w:rPr>
          <w:rFonts w:ascii="Times New Roman" w:hAnsi="Times New Roman" w:cs="Times New Roman"/>
          <w:sz w:val="20"/>
        </w:rPr>
      </w:pPr>
      <w:proofErr w:type="spellStart"/>
      <w:r w:rsidRPr="00995B3F">
        <w:rPr>
          <w:rFonts w:ascii="Times New Roman" w:hAnsi="Times New Roman" w:cs="Times New Roman"/>
          <w:sz w:val="20"/>
        </w:rPr>
        <w:t>Kurdyumova</w:t>
      </w:r>
      <w:proofErr w:type="spellEnd"/>
      <w:r w:rsidRPr="00995B3F">
        <w:rPr>
          <w:rFonts w:ascii="Times New Roman" w:hAnsi="Times New Roman" w:cs="Times New Roman"/>
          <w:sz w:val="20"/>
        </w:rPr>
        <w:t xml:space="preserve"> NV, Savin IA, Ershova ON, Shifrin MA, Danilov GV, </w:t>
      </w:r>
      <w:proofErr w:type="spellStart"/>
      <w:r w:rsidRPr="00995B3F">
        <w:rPr>
          <w:rFonts w:ascii="Times New Roman" w:hAnsi="Times New Roman" w:cs="Times New Roman"/>
          <w:sz w:val="20"/>
        </w:rPr>
        <w:t>Usachev</w:t>
      </w:r>
      <w:proofErr w:type="spellEnd"/>
      <w:r w:rsidRPr="00995B3F">
        <w:rPr>
          <w:rFonts w:ascii="Times New Roman" w:hAnsi="Times New Roman" w:cs="Times New Roman"/>
          <w:sz w:val="20"/>
        </w:rPr>
        <w:t xml:space="preserve"> DY. </w:t>
      </w:r>
      <w:proofErr w:type="spellStart"/>
      <w:r w:rsidRPr="00995B3F">
        <w:rPr>
          <w:rFonts w:ascii="Times New Roman" w:hAnsi="Times New Roman" w:cs="Times New Roman"/>
          <w:sz w:val="20"/>
        </w:rPr>
        <w:t>Faktory</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riska</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razvitiya</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nozokomial'nykh</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meningitov</w:t>
      </w:r>
      <w:proofErr w:type="spellEnd"/>
      <w:r w:rsidRPr="00995B3F">
        <w:rPr>
          <w:rFonts w:ascii="Times New Roman" w:hAnsi="Times New Roman" w:cs="Times New Roman"/>
          <w:sz w:val="20"/>
        </w:rPr>
        <w:t xml:space="preserve"> u </w:t>
      </w:r>
      <w:proofErr w:type="spellStart"/>
      <w:r w:rsidRPr="00995B3F">
        <w:rPr>
          <w:rFonts w:ascii="Times New Roman" w:hAnsi="Times New Roman" w:cs="Times New Roman"/>
          <w:sz w:val="20"/>
        </w:rPr>
        <w:t>patsientov</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neirokhirurgicheskogo</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profilya</w:t>
      </w:r>
      <w:proofErr w:type="spellEnd"/>
      <w:r w:rsidRPr="00995B3F">
        <w:rPr>
          <w:rFonts w:ascii="Times New Roman" w:hAnsi="Times New Roman" w:cs="Times New Roman"/>
          <w:sz w:val="20"/>
        </w:rPr>
        <w:t xml:space="preserve"> v </w:t>
      </w:r>
      <w:proofErr w:type="spellStart"/>
      <w:r w:rsidRPr="00995B3F">
        <w:rPr>
          <w:rFonts w:ascii="Times New Roman" w:hAnsi="Times New Roman" w:cs="Times New Roman"/>
          <w:sz w:val="20"/>
        </w:rPr>
        <w:t>otdelenii</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reanimatsii</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i</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intensivnoi</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terapii</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Rezul'taty</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pyatiletnego</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prospektivnogo</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issledovaniya</w:t>
      </w:r>
      <w:proofErr w:type="spellEnd"/>
      <w:r w:rsidRPr="00995B3F">
        <w:rPr>
          <w:rFonts w:ascii="Times New Roman" w:hAnsi="Times New Roman" w:cs="Times New Roman"/>
          <w:sz w:val="20"/>
        </w:rPr>
        <w:t xml:space="preserve"> [Risk factors of nosocomial meningitis in neurological intensive care unit. Results of a five-year prospective study]. </w:t>
      </w:r>
      <w:proofErr w:type="spellStart"/>
      <w:r w:rsidRPr="00995B3F">
        <w:rPr>
          <w:rFonts w:ascii="Times New Roman" w:hAnsi="Times New Roman" w:cs="Times New Roman"/>
          <w:sz w:val="20"/>
        </w:rPr>
        <w:t>Zh</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Vopr</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Neirokhir</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Im</w:t>
      </w:r>
      <w:proofErr w:type="spellEnd"/>
      <w:r w:rsidRPr="00995B3F">
        <w:rPr>
          <w:rFonts w:ascii="Times New Roman" w:hAnsi="Times New Roman" w:cs="Times New Roman"/>
          <w:sz w:val="20"/>
        </w:rPr>
        <w:t xml:space="preserve"> N </w:t>
      </w:r>
      <w:proofErr w:type="spellStart"/>
      <w:r w:rsidRPr="00995B3F">
        <w:rPr>
          <w:rFonts w:ascii="Times New Roman" w:hAnsi="Times New Roman" w:cs="Times New Roman"/>
          <w:sz w:val="20"/>
        </w:rPr>
        <w:t>N</w:t>
      </w:r>
      <w:proofErr w:type="spellEnd"/>
      <w:r w:rsidRPr="00995B3F">
        <w:rPr>
          <w:rFonts w:ascii="Times New Roman" w:hAnsi="Times New Roman" w:cs="Times New Roman"/>
          <w:sz w:val="20"/>
        </w:rPr>
        <w:t xml:space="preserve"> Burdenko. 2021;85(6):83-91 </w:t>
      </w:r>
    </w:p>
    <w:p w14:paraId="113AF002" w14:textId="77777777" w:rsidR="00995B3F"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La Russa R, Maiese A, Di Fazio N, Morano A, Di Bonaventura C, De Matteis A, et al. Post-Traumatic Meningitis Is a Diagnostic Challenging Time: A Systematic Review Focusing on Clinical and Pathological Features. Int J Mol Sci. 2020;21(11):4148. </w:t>
      </w:r>
    </w:p>
    <w:p w14:paraId="113AF003"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Zhang Z, Song Y, Kang J, Duan S, Li Q, Feng F, et al. Epidemiology of patients with central nervous system infections, mainly neurosurgical patients: a retrospective study from 2012 to 2019 in a teaching hospital in China. BMC Infect Dis 2021, 21(1):826. </w:t>
      </w:r>
    </w:p>
    <w:p w14:paraId="113AF004"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Zheng G, Shi Y, Sun J, Wang S, Qian L, </w:t>
      </w:r>
      <w:proofErr w:type="spellStart"/>
      <w:r w:rsidRPr="00995B3F">
        <w:rPr>
          <w:rFonts w:ascii="Times New Roman" w:hAnsi="Times New Roman" w:cs="Times New Roman"/>
          <w:sz w:val="20"/>
        </w:rPr>
        <w:t>Lv</w:t>
      </w:r>
      <w:proofErr w:type="spellEnd"/>
      <w:r w:rsidRPr="00995B3F">
        <w:rPr>
          <w:rFonts w:ascii="Times New Roman" w:hAnsi="Times New Roman" w:cs="Times New Roman"/>
          <w:sz w:val="20"/>
        </w:rPr>
        <w:t xml:space="preserve"> H, et al. Clinical Characteristics and Predictors of Mortality of Patients with Post-Neurosurgical Meningitis-A 900-Cases Cohort Study. Infect Drug Resist. 2024, 17:4853-63. </w:t>
      </w:r>
    </w:p>
    <w:p w14:paraId="113AF005"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Rodríguez-Lucas C, Fernández J, Martínez-Sela M, Álvarez-Vega M, Moran N, Garcia A, et al. Pseudomonas aeruginosa nosocomial meningitis in neurosurgical patients with intraventricular catheters: Therapeutic approach and review of the literature. </w:t>
      </w:r>
      <w:proofErr w:type="spellStart"/>
      <w:r w:rsidRPr="00995B3F">
        <w:rPr>
          <w:rFonts w:ascii="Times New Roman" w:hAnsi="Times New Roman" w:cs="Times New Roman"/>
          <w:sz w:val="20"/>
        </w:rPr>
        <w:t>Enferm</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Infecc</w:t>
      </w:r>
      <w:proofErr w:type="spellEnd"/>
      <w:r w:rsidRPr="00995B3F">
        <w:rPr>
          <w:rFonts w:ascii="Times New Roman" w:hAnsi="Times New Roman" w:cs="Times New Roman"/>
          <w:sz w:val="20"/>
        </w:rPr>
        <w:t xml:space="preserve"> </w:t>
      </w:r>
      <w:proofErr w:type="spellStart"/>
      <w:r w:rsidRPr="00995B3F">
        <w:rPr>
          <w:rFonts w:ascii="Times New Roman" w:hAnsi="Times New Roman" w:cs="Times New Roman"/>
          <w:sz w:val="20"/>
        </w:rPr>
        <w:t>Microbiol</w:t>
      </w:r>
      <w:proofErr w:type="spellEnd"/>
      <w:r w:rsidRPr="00995B3F">
        <w:rPr>
          <w:rFonts w:ascii="Times New Roman" w:hAnsi="Times New Roman" w:cs="Times New Roman"/>
          <w:sz w:val="20"/>
        </w:rPr>
        <w:t xml:space="preserve"> Clin (Engl Ed). 2020, 38(2):54-8. </w:t>
      </w:r>
    </w:p>
    <w:p w14:paraId="113AF006"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Hansen W, Dreyer I, Botes L, Domah K, </w:t>
      </w:r>
      <w:proofErr w:type="spellStart"/>
      <w:r w:rsidRPr="00995B3F">
        <w:rPr>
          <w:rFonts w:ascii="Times New Roman" w:hAnsi="Times New Roman" w:cs="Times New Roman"/>
          <w:sz w:val="20"/>
        </w:rPr>
        <w:t>Kashimbode</w:t>
      </w:r>
      <w:proofErr w:type="spellEnd"/>
      <w:r w:rsidRPr="00995B3F">
        <w:rPr>
          <w:rFonts w:ascii="Times New Roman" w:hAnsi="Times New Roman" w:cs="Times New Roman"/>
          <w:sz w:val="20"/>
        </w:rPr>
        <w:t xml:space="preserve"> R. Post-traumatic Acinetobacter baumannii Meningitis Following Penetrating Trauma: A Case Report. Cureus. 2024 Dec 23;16(12</w:t>
      </w:r>
      <w:proofErr w:type="gramStart"/>
      <w:r w:rsidRPr="00995B3F">
        <w:rPr>
          <w:rFonts w:ascii="Times New Roman" w:hAnsi="Times New Roman" w:cs="Times New Roman"/>
          <w:sz w:val="20"/>
        </w:rPr>
        <w:t>):e</w:t>
      </w:r>
      <w:proofErr w:type="gramEnd"/>
      <w:r w:rsidRPr="00995B3F">
        <w:rPr>
          <w:rFonts w:ascii="Times New Roman" w:hAnsi="Times New Roman" w:cs="Times New Roman"/>
          <w:sz w:val="20"/>
        </w:rPr>
        <w:t xml:space="preserve">76235. </w:t>
      </w:r>
    </w:p>
    <w:p w14:paraId="113AF007"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Tian X, Meng X, Guo L, Li Y, Gu G, Zhang T, An R. Efficacy of intravenous plus intrathecal/intracerebral ventricle injection of tigecycline for post‑neurosurgical intracranial infections due to MDR/XDR Acinetobacter baumannii: A retrospective cohort study. Exp Ther Med. 2024 Dec 13;29(2):31. </w:t>
      </w:r>
    </w:p>
    <w:p w14:paraId="113AF008"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Sharma R, Goda R, Borkar SA, Katiyar V, Agarwal S, Kumar A, Mohapatra S, Kapil A, Suri A, Kale SS. Outcome following </w:t>
      </w:r>
      <w:proofErr w:type="spellStart"/>
      <w:r w:rsidRPr="00995B3F">
        <w:rPr>
          <w:rFonts w:ascii="Times New Roman" w:hAnsi="Times New Roman" w:cs="Times New Roman"/>
          <w:sz w:val="20"/>
        </w:rPr>
        <w:t>postneurosurgical</w:t>
      </w:r>
      <w:proofErr w:type="spellEnd"/>
      <w:r w:rsidRPr="00995B3F">
        <w:rPr>
          <w:rFonts w:ascii="Times New Roman" w:hAnsi="Times New Roman" w:cs="Times New Roman"/>
          <w:sz w:val="20"/>
        </w:rPr>
        <w:t xml:space="preserve"> Acinetobacter meningitis: an institutional experience of 72 cases. </w:t>
      </w:r>
      <w:proofErr w:type="spellStart"/>
      <w:r w:rsidRPr="00995B3F">
        <w:rPr>
          <w:rFonts w:ascii="Times New Roman" w:hAnsi="Times New Roman" w:cs="Times New Roman"/>
          <w:sz w:val="20"/>
        </w:rPr>
        <w:t>Neurosurg</w:t>
      </w:r>
      <w:proofErr w:type="spellEnd"/>
      <w:r w:rsidRPr="00995B3F">
        <w:rPr>
          <w:rFonts w:ascii="Times New Roman" w:hAnsi="Times New Roman" w:cs="Times New Roman"/>
          <w:sz w:val="20"/>
        </w:rPr>
        <w:t xml:space="preserve"> Focus. 2019 Aug 1;47(2</w:t>
      </w:r>
      <w:proofErr w:type="gramStart"/>
      <w:r w:rsidRPr="00995B3F">
        <w:rPr>
          <w:rFonts w:ascii="Times New Roman" w:hAnsi="Times New Roman" w:cs="Times New Roman"/>
          <w:sz w:val="20"/>
        </w:rPr>
        <w:t>):E</w:t>
      </w:r>
      <w:proofErr w:type="gramEnd"/>
      <w:r w:rsidRPr="00995B3F">
        <w:rPr>
          <w:rFonts w:ascii="Times New Roman" w:hAnsi="Times New Roman" w:cs="Times New Roman"/>
          <w:sz w:val="20"/>
        </w:rPr>
        <w:t xml:space="preserve">8. </w:t>
      </w:r>
    </w:p>
    <w:p w14:paraId="113AF009"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Senturk GC, </w:t>
      </w:r>
      <w:proofErr w:type="spellStart"/>
      <w:r w:rsidRPr="00995B3F">
        <w:rPr>
          <w:rFonts w:ascii="Times New Roman" w:hAnsi="Times New Roman" w:cs="Times New Roman"/>
          <w:sz w:val="20"/>
        </w:rPr>
        <w:t>Ozay</w:t>
      </w:r>
      <w:proofErr w:type="spellEnd"/>
      <w:r w:rsidRPr="00995B3F">
        <w:rPr>
          <w:rFonts w:ascii="Times New Roman" w:hAnsi="Times New Roman" w:cs="Times New Roman"/>
          <w:sz w:val="20"/>
        </w:rPr>
        <w:t xml:space="preserve"> R, Kul G, Altay FA, </w:t>
      </w:r>
      <w:proofErr w:type="spellStart"/>
      <w:r w:rsidRPr="00995B3F">
        <w:rPr>
          <w:rFonts w:ascii="Times New Roman" w:hAnsi="Times New Roman" w:cs="Times New Roman"/>
          <w:sz w:val="20"/>
        </w:rPr>
        <w:t>Kuzi</w:t>
      </w:r>
      <w:proofErr w:type="spellEnd"/>
      <w:r w:rsidRPr="00995B3F">
        <w:rPr>
          <w:rFonts w:ascii="Times New Roman" w:hAnsi="Times New Roman" w:cs="Times New Roman"/>
          <w:sz w:val="20"/>
        </w:rPr>
        <w:t xml:space="preserve"> S, </w:t>
      </w:r>
      <w:proofErr w:type="spellStart"/>
      <w:r w:rsidRPr="00995B3F">
        <w:rPr>
          <w:rFonts w:ascii="Times New Roman" w:hAnsi="Times New Roman" w:cs="Times New Roman"/>
          <w:sz w:val="20"/>
        </w:rPr>
        <w:t>Gurbuz</w:t>
      </w:r>
      <w:proofErr w:type="spellEnd"/>
      <w:r w:rsidRPr="00995B3F">
        <w:rPr>
          <w:rFonts w:ascii="Times New Roman" w:hAnsi="Times New Roman" w:cs="Times New Roman"/>
          <w:sz w:val="20"/>
        </w:rPr>
        <w:t xml:space="preserve"> Y, </w:t>
      </w:r>
      <w:proofErr w:type="spellStart"/>
      <w:r w:rsidRPr="00995B3F">
        <w:rPr>
          <w:rFonts w:ascii="Times New Roman" w:hAnsi="Times New Roman" w:cs="Times New Roman"/>
          <w:sz w:val="20"/>
        </w:rPr>
        <w:t>Tutuncu</w:t>
      </w:r>
      <w:proofErr w:type="spellEnd"/>
      <w:r w:rsidRPr="00995B3F">
        <w:rPr>
          <w:rFonts w:ascii="Times New Roman" w:hAnsi="Times New Roman" w:cs="Times New Roman"/>
          <w:sz w:val="20"/>
        </w:rPr>
        <w:t xml:space="preserve"> E, Eser T. Evaluation of Post-operative Meningitis: Comparison of Meningitis Caused by Acinetobacter spp. and Other Possible Causes. Turk </w:t>
      </w:r>
      <w:proofErr w:type="spellStart"/>
      <w:r w:rsidRPr="00995B3F">
        <w:rPr>
          <w:rFonts w:ascii="Times New Roman" w:hAnsi="Times New Roman" w:cs="Times New Roman"/>
          <w:sz w:val="20"/>
        </w:rPr>
        <w:t>Neurosurg</w:t>
      </w:r>
      <w:proofErr w:type="spellEnd"/>
      <w:r w:rsidRPr="00995B3F">
        <w:rPr>
          <w:rFonts w:ascii="Times New Roman" w:hAnsi="Times New Roman" w:cs="Times New Roman"/>
          <w:sz w:val="20"/>
        </w:rPr>
        <w:t xml:space="preserve">. 2019;29(6):804-810. </w:t>
      </w:r>
    </w:p>
    <w:p w14:paraId="113AF00A"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Adil SM, Hodges SE, Charalambous LT, Kiyani M, Liu B, Lee HJ, et al. </w:t>
      </w:r>
      <w:proofErr w:type="spellStart"/>
      <w:r w:rsidRPr="00995B3F">
        <w:rPr>
          <w:rFonts w:ascii="Times New Roman" w:hAnsi="Times New Roman" w:cs="Times New Roman"/>
          <w:sz w:val="20"/>
        </w:rPr>
        <w:t>Paediatric</w:t>
      </w:r>
      <w:proofErr w:type="spellEnd"/>
      <w:r w:rsidRPr="00995B3F">
        <w:rPr>
          <w:rFonts w:ascii="Times New Roman" w:hAnsi="Times New Roman" w:cs="Times New Roman"/>
          <w:sz w:val="20"/>
        </w:rPr>
        <w:t xml:space="preserve"> bacterial meningitis in the USA: outcomes and healthcare resource utilization of nosocomial versus community-acquired infection. J Med </w:t>
      </w:r>
      <w:proofErr w:type="spellStart"/>
      <w:r w:rsidRPr="00995B3F">
        <w:rPr>
          <w:rFonts w:ascii="Times New Roman" w:hAnsi="Times New Roman" w:cs="Times New Roman"/>
          <w:sz w:val="20"/>
        </w:rPr>
        <w:t>Microbiol</w:t>
      </w:r>
      <w:proofErr w:type="spellEnd"/>
      <w:r w:rsidRPr="00995B3F">
        <w:rPr>
          <w:rFonts w:ascii="Times New Roman" w:hAnsi="Times New Roman" w:cs="Times New Roman"/>
          <w:sz w:val="20"/>
        </w:rPr>
        <w:t xml:space="preserve">. 2021, 70(1). </w:t>
      </w:r>
    </w:p>
    <w:p w14:paraId="113AF00B"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Panic H, </w:t>
      </w:r>
      <w:proofErr w:type="spellStart"/>
      <w:r w:rsidRPr="00995B3F">
        <w:rPr>
          <w:rFonts w:ascii="Times New Roman" w:hAnsi="Times New Roman" w:cs="Times New Roman"/>
          <w:sz w:val="20"/>
        </w:rPr>
        <w:t>Gjurasin</w:t>
      </w:r>
      <w:proofErr w:type="spellEnd"/>
      <w:r w:rsidRPr="00995B3F">
        <w:rPr>
          <w:rFonts w:ascii="Times New Roman" w:hAnsi="Times New Roman" w:cs="Times New Roman"/>
          <w:sz w:val="20"/>
        </w:rPr>
        <w:t xml:space="preserve"> B, Santini M, </w:t>
      </w:r>
      <w:proofErr w:type="spellStart"/>
      <w:r w:rsidRPr="00995B3F">
        <w:rPr>
          <w:rFonts w:ascii="Times New Roman" w:hAnsi="Times New Roman" w:cs="Times New Roman"/>
          <w:sz w:val="20"/>
        </w:rPr>
        <w:t>Kutlesa</w:t>
      </w:r>
      <w:proofErr w:type="spellEnd"/>
      <w:r w:rsidRPr="00995B3F">
        <w:rPr>
          <w:rFonts w:ascii="Times New Roman" w:hAnsi="Times New Roman" w:cs="Times New Roman"/>
          <w:sz w:val="20"/>
        </w:rPr>
        <w:t xml:space="preserve"> M, Papic N. Etiology and Outcomes of Healthcare-Associated Meningitis and Ventriculitis-A Single Center Cohort Study. Infect Dis Rep. 2022;14(3):420-7. </w:t>
      </w:r>
    </w:p>
    <w:p w14:paraId="113AF00C" w14:textId="77777777" w:rsidR="001B7F87" w:rsidRPr="00995B3F" w:rsidRDefault="00710644" w:rsidP="00995B3F">
      <w:pPr>
        <w:pStyle w:val="ListParagraph"/>
        <w:numPr>
          <w:ilvl w:val="0"/>
          <w:numId w:val="2"/>
        </w:numPr>
        <w:jc w:val="both"/>
        <w:rPr>
          <w:rFonts w:ascii="Times New Roman" w:hAnsi="Times New Roman" w:cs="Times New Roman"/>
          <w:sz w:val="20"/>
        </w:rPr>
      </w:pPr>
      <w:r w:rsidRPr="00995B3F">
        <w:rPr>
          <w:rFonts w:ascii="Times New Roman" w:hAnsi="Times New Roman" w:cs="Times New Roman"/>
          <w:sz w:val="20"/>
        </w:rPr>
        <w:t xml:space="preserve">Li H, Yu W, Wang G and Cai H (2022) Outcome of Using Intraventricular Plus Intravenous Polymyxin B in Post-neurosurgical Patients With Multi/Extensively Drug-Resistant Gram-Negative Bacteria-Induced Intracranial Infection. Front. Med. 9:913364. </w:t>
      </w:r>
    </w:p>
    <w:p w14:paraId="113AF00D" w14:textId="77777777" w:rsidR="001B7F87" w:rsidRPr="00995B3F" w:rsidRDefault="001B7F87" w:rsidP="00995B3F">
      <w:pPr>
        <w:jc w:val="both"/>
        <w:rPr>
          <w:rFonts w:ascii="Times New Roman" w:hAnsi="Times New Roman" w:cs="Times New Roman"/>
          <w:sz w:val="20"/>
        </w:rPr>
      </w:pPr>
    </w:p>
    <w:p w14:paraId="113AF00E" w14:textId="77777777" w:rsidR="001B7F87" w:rsidRPr="00710644" w:rsidRDefault="00710644" w:rsidP="00710644">
      <w:pPr>
        <w:rPr>
          <w:rFonts w:ascii="Times New Roman" w:hAnsi="Times New Roman" w:cs="Times New Roman"/>
        </w:rPr>
      </w:pPr>
      <w:r w:rsidRPr="00710644">
        <w:rPr>
          <w:rFonts w:ascii="Times New Roman" w:hAnsi="Times New Roman" w:cs="Times New Roman"/>
        </w:rPr>
        <w:br w:type="page"/>
      </w:r>
    </w:p>
    <w:p w14:paraId="113AF00F" w14:textId="77777777" w:rsidR="001B7F87" w:rsidRPr="00710644" w:rsidRDefault="001B7F87" w:rsidP="00710644">
      <w:pPr>
        <w:rPr>
          <w:rFonts w:ascii="Times New Roman" w:hAnsi="Times New Roman" w:cs="Times New Roman"/>
          <w:b/>
          <w:bCs/>
        </w:rPr>
      </w:pPr>
    </w:p>
    <w:sectPr w:rsidR="001B7F87" w:rsidRPr="00710644">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A83E" w14:textId="77777777" w:rsidR="0086219D" w:rsidRDefault="0086219D">
      <w:pPr>
        <w:spacing w:line="240" w:lineRule="auto"/>
      </w:pPr>
      <w:r>
        <w:separator/>
      </w:r>
    </w:p>
  </w:endnote>
  <w:endnote w:type="continuationSeparator" w:id="0">
    <w:p w14:paraId="121D4C93" w14:textId="77777777" w:rsidR="0086219D" w:rsidRDefault="00862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B6245BA5-D42A-4737-ACA9-AC1452E957F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5F479450-D594-4C7F-BCE6-C09FF57BDDBD}"/>
  </w:font>
  <w:font w:name="Cambria">
    <w:panose1 w:val="02040503050406030204"/>
    <w:charset w:val="00"/>
    <w:family w:val="roman"/>
    <w:pitch w:val="variable"/>
    <w:sig w:usb0="E00006FF" w:usb1="420024FF" w:usb2="02000000" w:usb3="00000000" w:csb0="0000019F" w:csb1="00000000"/>
    <w:embedRegular r:id="rId3" w:fontKey="{78B9B31F-B10A-429D-8F7E-4773E64E1B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F01A" w14:textId="77777777" w:rsidR="00710644" w:rsidRDefault="00710644">
    <w:pP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D4462" w14:textId="77777777" w:rsidR="0086219D" w:rsidRDefault="0086219D">
      <w:r>
        <w:separator/>
      </w:r>
    </w:p>
  </w:footnote>
  <w:footnote w:type="continuationSeparator" w:id="0">
    <w:p w14:paraId="33AA1E9A" w14:textId="77777777" w:rsidR="0086219D" w:rsidRDefault="00862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017757"/>
      <w:docPartObj>
        <w:docPartGallery w:val="AutoText"/>
      </w:docPartObj>
    </w:sdtPr>
    <w:sdtEndPr/>
    <w:sdtContent>
      <w:p w14:paraId="113AF018" w14:textId="77777777" w:rsidR="00710644" w:rsidRDefault="00710644">
        <w:pPr>
          <w:pStyle w:val="Header"/>
          <w:jc w:val="right"/>
        </w:pPr>
        <w:r>
          <w:fldChar w:fldCharType="begin"/>
        </w:r>
        <w:r>
          <w:instrText xml:space="preserve"> PAGE   \* MERGEFORMAT </w:instrText>
        </w:r>
        <w:r>
          <w:fldChar w:fldCharType="separate"/>
        </w:r>
        <w:r w:rsidR="008B5EF4">
          <w:rPr>
            <w:noProof/>
          </w:rPr>
          <w:t>2</w:t>
        </w:r>
        <w:r>
          <w:fldChar w:fldCharType="end"/>
        </w:r>
      </w:p>
    </w:sdtContent>
  </w:sdt>
  <w:p w14:paraId="113AF019" w14:textId="77777777" w:rsidR="00710644" w:rsidRDefault="00710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5939"/>
    <w:multiLevelType w:val="hybridMultilevel"/>
    <w:tmpl w:val="22F09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11736C"/>
    <w:multiLevelType w:val="hybridMultilevel"/>
    <w:tmpl w:val="7A326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1572599">
    <w:abstractNumId w:val="1"/>
  </w:num>
  <w:num w:numId="2" w16cid:durableId="487131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A0MLcwMzU2MjI3NzBU0lEKTi0uzszPAykwqgUAybkeaCwAAAA="/>
  </w:docVars>
  <w:rsids>
    <w:rsidRoot w:val="00A13484"/>
    <w:rsid w:val="00005DC8"/>
    <w:rsid w:val="0002603F"/>
    <w:rsid w:val="0003019A"/>
    <w:rsid w:val="00033D01"/>
    <w:rsid w:val="00047CD9"/>
    <w:rsid w:val="00071E8E"/>
    <w:rsid w:val="00100DD1"/>
    <w:rsid w:val="00111358"/>
    <w:rsid w:val="001176A2"/>
    <w:rsid w:val="00117BEB"/>
    <w:rsid w:val="001513B9"/>
    <w:rsid w:val="0019156F"/>
    <w:rsid w:val="001B635F"/>
    <w:rsid w:val="001B7F87"/>
    <w:rsid w:val="001C61AC"/>
    <w:rsid w:val="001E1F3B"/>
    <w:rsid w:val="001F72F6"/>
    <w:rsid w:val="00203622"/>
    <w:rsid w:val="00216197"/>
    <w:rsid w:val="00252F4D"/>
    <w:rsid w:val="00255FB7"/>
    <w:rsid w:val="00262C20"/>
    <w:rsid w:val="00277E42"/>
    <w:rsid w:val="002A64DC"/>
    <w:rsid w:val="002B398F"/>
    <w:rsid w:val="002C02DC"/>
    <w:rsid w:val="002D41E5"/>
    <w:rsid w:val="002F0E52"/>
    <w:rsid w:val="00315F41"/>
    <w:rsid w:val="00335645"/>
    <w:rsid w:val="00335BE5"/>
    <w:rsid w:val="003538C0"/>
    <w:rsid w:val="003615F7"/>
    <w:rsid w:val="00364209"/>
    <w:rsid w:val="003A23BC"/>
    <w:rsid w:val="003A38D8"/>
    <w:rsid w:val="003C0256"/>
    <w:rsid w:val="003E0659"/>
    <w:rsid w:val="003F2621"/>
    <w:rsid w:val="003F2A29"/>
    <w:rsid w:val="00422D84"/>
    <w:rsid w:val="0042481A"/>
    <w:rsid w:val="00437AB4"/>
    <w:rsid w:val="0044686A"/>
    <w:rsid w:val="004668A0"/>
    <w:rsid w:val="00471DC1"/>
    <w:rsid w:val="004A3D80"/>
    <w:rsid w:val="004C7395"/>
    <w:rsid w:val="004D1D61"/>
    <w:rsid w:val="004D21C4"/>
    <w:rsid w:val="00513304"/>
    <w:rsid w:val="0052189C"/>
    <w:rsid w:val="0052288A"/>
    <w:rsid w:val="00523B21"/>
    <w:rsid w:val="00523DE5"/>
    <w:rsid w:val="00543107"/>
    <w:rsid w:val="0059553B"/>
    <w:rsid w:val="005A2C9E"/>
    <w:rsid w:val="005A549C"/>
    <w:rsid w:val="005C35B8"/>
    <w:rsid w:val="0060177C"/>
    <w:rsid w:val="006131E4"/>
    <w:rsid w:val="006304CC"/>
    <w:rsid w:val="00660FB7"/>
    <w:rsid w:val="00674F61"/>
    <w:rsid w:val="006C1C78"/>
    <w:rsid w:val="007005A7"/>
    <w:rsid w:val="00710644"/>
    <w:rsid w:val="00750708"/>
    <w:rsid w:val="00753D53"/>
    <w:rsid w:val="00782AA7"/>
    <w:rsid w:val="007834DB"/>
    <w:rsid w:val="00783FF5"/>
    <w:rsid w:val="007A51EA"/>
    <w:rsid w:val="007B63B4"/>
    <w:rsid w:val="007D386A"/>
    <w:rsid w:val="007D5C2D"/>
    <w:rsid w:val="00811D7B"/>
    <w:rsid w:val="00837146"/>
    <w:rsid w:val="00844B5C"/>
    <w:rsid w:val="00852D79"/>
    <w:rsid w:val="0086076D"/>
    <w:rsid w:val="0086219D"/>
    <w:rsid w:val="008878C2"/>
    <w:rsid w:val="00890ACE"/>
    <w:rsid w:val="008A3F6C"/>
    <w:rsid w:val="008A583A"/>
    <w:rsid w:val="008A5841"/>
    <w:rsid w:val="008A6194"/>
    <w:rsid w:val="008B203F"/>
    <w:rsid w:val="008B5EF4"/>
    <w:rsid w:val="008B6867"/>
    <w:rsid w:val="008C0212"/>
    <w:rsid w:val="008E2416"/>
    <w:rsid w:val="009001FA"/>
    <w:rsid w:val="00915132"/>
    <w:rsid w:val="009169A3"/>
    <w:rsid w:val="00926A19"/>
    <w:rsid w:val="00956873"/>
    <w:rsid w:val="00995005"/>
    <w:rsid w:val="00995B3F"/>
    <w:rsid w:val="009C2D90"/>
    <w:rsid w:val="009C6973"/>
    <w:rsid w:val="009D775E"/>
    <w:rsid w:val="009E324B"/>
    <w:rsid w:val="009F7407"/>
    <w:rsid w:val="00A058AB"/>
    <w:rsid w:val="00A06FAB"/>
    <w:rsid w:val="00A13484"/>
    <w:rsid w:val="00A2421F"/>
    <w:rsid w:val="00A33B00"/>
    <w:rsid w:val="00A375DF"/>
    <w:rsid w:val="00A60432"/>
    <w:rsid w:val="00A608A9"/>
    <w:rsid w:val="00A62601"/>
    <w:rsid w:val="00A8624B"/>
    <w:rsid w:val="00AB0B63"/>
    <w:rsid w:val="00AB5250"/>
    <w:rsid w:val="00AB66D0"/>
    <w:rsid w:val="00AC2B02"/>
    <w:rsid w:val="00AD4971"/>
    <w:rsid w:val="00AD635A"/>
    <w:rsid w:val="00B61BB8"/>
    <w:rsid w:val="00B73D5A"/>
    <w:rsid w:val="00B748E2"/>
    <w:rsid w:val="00BD29EF"/>
    <w:rsid w:val="00BE13EB"/>
    <w:rsid w:val="00BE1801"/>
    <w:rsid w:val="00BE5F9A"/>
    <w:rsid w:val="00BF16CE"/>
    <w:rsid w:val="00C06E4E"/>
    <w:rsid w:val="00C30711"/>
    <w:rsid w:val="00C4201B"/>
    <w:rsid w:val="00C46964"/>
    <w:rsid w:val="00C52895"/>
    <w:rsid w:val="00C64DC6"/>
    <w:rsid w:val="00C665F6"/>
    <w:rsid w:val="00C73AD5"/>
    <w:rsid w:val="00C909F3"/>
    <w:rsid w:val="00CB0E79"/>
    <w:rsid w:val="00CE710A"/>
    <w:rsid w:val="00CF0C4E"/>
    <w:rsid w:val="00CF0F64"/>
    <w:rsid w:val="00CF4F72"/>
    <w:rsid w:val="00D21CDF"/>
    <w:rsid w:val="00D4578A"/>
    <w:rsid w:val="00D55918"/>
    <w:rsid w:val="00D561AC"/>
    <w:rsid w:val="00D87684"/>
    <w:rsid w:val="00DA4507"/>
    <w:rsid w:val="00DD08B2"/>
    <w:rsid w:val="00DD0EB4"/>
    <w:rsid w:val="00DE0FA7"/>
    <w:rsid w:val="00DE36C1"/>
    <w:rsid w:val="00E2614E"/>
    <w:rsid w:val="00E63A70"/>
    <w:rsid w:val="00E63E77"/>
    <w:rsid w:val="00E85FE7"/>
    <w:rsid w:val="00E90B83"/>
    <w:rsid w:val="00E97FAA"/>
    <w:rsid w:val="00EB3193"/>
    <w:rsid w:val="00EC3C69"/>
    <w:rsid w:val="00EE69C0"/>
    <w:rsid w:val="00F04D0B"/>
    <w:rsid w:val="00F1326C"/>
    <w:rsid w:val="00F13346"/>
    <w:rsid w:val="00F43685"/>
    <w:rsid w:val="00F4477B"/>
    <w:rsid w:val="00F529C4"/>
    <w:rsid w:val="00F62250"/>
    <w:rsid w:val="00F6637D"/>
    <w:rsid w:val="00F70826"/>
    <w:rsid w:val="00F8333B"/>
    <w:rsid w:val="00F86BCD"/>
    <w:rsid w:val="00F962F2"/>
    <w:rsid w:val="00FA7A5B"/>
    <w:rsid w:val="00FB7F7C"/>
    <w:rsid w:val="00FC0427"/>
    <w:rsid w:val="00FF04E1"/>
    <w:rsid w:val="99EF22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AEE03"/>
  <w15:docId w15:val="{449530EB-7B10-4504-954D-5DA246391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Header">
    <w:name w:val="header"/>
    <w:basedOn w:val="Normal"/>
    <w:link w:val="HeaderChar"/>
    <w:uiPriority w:val="99"/>
    <w:unhideWhenUsed/>
    <w:pPr>
      <w:tabs>
        <w:tab w:val="center" w:pos="4680"/>
        <w:tab w:val="right" w:pos="9360"/>
      </w:tabs>
      <w:spacing w:line="240" w:lineRule="auto"/>
    </w:pPr>
  </w:style>
  <w:style w:type="character" w:styleId="Hyperlink">
    <w:name w:val="Hyperlink"/>
    <w:basedOn w:val="DefaultParagraphFont"/>
    <w:uiPriority w:val="99"/>
    <w:unhideWhenUsed/>
    <w:rPr>
      <w:color w:val="0000FF" w:themeColor="hyperlink"/>
      <w:u w:val="single"/>
    </w:rPr>
  </w:style>
  <w:style w:type="paragraph" w:styleId="Subtitle">
    <w:name w:val="Subtitle"/>
    <w:basedOn w:val="Normal"/>
    <w:next w:val="Normal"/>
    <w:uiPriority w:val="11"/>
    <w:qFormat/>
    <w:pPr>
      <w:keepNext/>
      <w:keepLines/>
      <w:spacing w:after="320"/>
    </w:pPr>
    <w:rPr>
      <w:color w:val="666666"/>
      <w:sz w:val="30"/>
      <w:szCs w:val="30"/>
    </w:rPr>
  </w:style>
  <w:style w:type="paragraph" w:styleId="Title">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6">
    <w:name w:val="6"/>
    <w:basedOn w:val="TableNormal1"/>
    <w:tblPr/>
  </w:style>
  <w:style w:type="table" w:customStyle="1" w:styleId="5">
    <w:name w:val="5"/>
    <w:basedOn w:val="TableNormal1"/>
    <w:tblPr/>
  </w:style>
  <w:style w:type="character" w:customStyle="1" w:styleId="CommentTextChar">
    <w:name w:val="Comment Text Char"/>
    <w:basedOn w:val="DefaultParagraphFont"/>
    <w:link w:val="CommentText"/>
    <w:uiPriority w:val="99"/>
    <w:rPr>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table" w:customStyle="1" w:styleId="4">
    <w:name w:val="4"/>
    <w:basedOn w:val="TableNormal"/>
    <w:tblPr>
      <w:tblCellMar>
        <w:left w:w="115" w:type="dxa"/>
        <w:right w:w="115" w:type="dxa"/>
      </w:tblCellMar>
    </w:tblPr>
  </w:style>
  <w:style w:type="table" w:customStyle="1" w:styleId="3">
    <w:name w:val="3"/>
    <w:basedOn w:val="TableNormal"/>
    <w:tblPr>
      <w:tblCellMar>
        <w:left w:w="115" w:type="dxa"/>
        <w:right w:w="115" w:type="dxa"/>
      </w:tblCellMar>
    </w:tblPr>
  </w:style>
  <w:style w:type="table" w:customStyle="1" w:styleId="2">
    <w:name w:val="2"/>
    <w:basedOn w:val="TableNormal"/>
    <w:tblPr>
      <w:tblCellMar>
        <w:left w:w="115" w:type="dxa"/>
        <w:right w:w="115" w:type="dxa"/>
      </w:tblCellMar>
    </w:tblPr>
  </w:style>
  <w:style w:type="table" w:customStyle="1" w:styleId="1">
    <w:name w:val="1"/>
    <w:basedOn w:val="TableNormal"/>
    <w:tblPr>
      <w:tblCellMar>
        <w:left w:w="115" w:type="dxa"/>
        <w:right w:w="115" w:type="dxa"/>
      </w:tblCellMar>
    </w:tblPr>
  </w:style>
  <w:style w:type="paragraph" w:customStyle="1" w:styleId="Revision1">
    <w:name w:val="Revision1"/>
    <w:hidden/>
    <w:uiPriority w:val="99"/>
    <w:semiHidden/>
    <w:rPr>
      <w:sz w:val="22"/>
      <w:szCs w:val="22"/>
      <w:lang w:val="en"/>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EndnoteTextChar">
    <w:name w:val="Endnote Text Char"/>
    <w:basedOn w:val="DefaultParagraphFont"/>
    <w:link w:val="Endnote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doi.org/10.70302/jpsim.v7i3.2637" TargetMode="External"/><Relationship Id="rId4" Type="http://schemas.openxmlformats.org/officeDocument/2006/relationships/styles" Target="styles.xml"/><Relationship Id="rId9" Type="http://schemas.openxmlformats.org/officeDocument/2006/relationships/hyperlink" Target="mailto:nosheen.nasir@aku.ed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go:gDocsCustomXmlDataStorage xmlns:r="http://schemas.openxmlformats.org/officeDocument/2006/relationships" xmlns:go="http://customooxmlschemas.google.com/" uri="GoogleDocsCustomDataVersion2">
  <go:docsCustomData xmlns:go="http://customooxmlschemas.google.com/" roundtripDataSignature="AMtx7mh1XrSH/kwxtREeVOegrjDwSRK/Jg==">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</go:docsCustomData>
</go:gDocsCustomXmlDataStorage>
</file>

<file path=customXml/itemProps1.xml><?xml version="1.0" encoding="utf-8"?>
<ds:datastoreItem xmlns:ds="http://schemas.openxmlformats.org/officeDocument/2006/customXml" ds:itemID="{0AFAE0F5-839A-457E-8FD3-AA887920AA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1945</TotalTime>
  <Pages>11</Pages>
  <Words>4707</Words>
  <Characters>26833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Saadia Sattar</dc:creator>
  <cp:lastModifiedBy>PSIM Journal</cp:lastModifiedBy>
  <cp:revision>141</cp:revision>
  <dcterms:created xsi:type="dcterms:W3CDTF">2026-03-27T11:55:00Z</dcterms:created>
  <dcterms:modified xsi:type="dcterms:W3CDTF">2026-08-12T09:35:00Z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985A6A38117BB1BCB6AC706A15428307_42</vt:lpwstr>
  </property>
</Properties>
</file>