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142A8" w14:textId="4DB3A9A7" w:rsidR="00963792" w:rsidRPr="00B674CF" w:rsidRDefault="00963792" w:rsidP="00B674CF">
      <w:pPr>
        <w:spacing w:after="0" w:line="360" w:lineRule="auto"/>
        <w:jc w:val="center"/>
        <w:rPr>
          <w:rFonts w:ascii="Times New Roman" w:hAnsi="Times New Roman" w:cs="Times New Roman"/>
          <w:b/>
          <w:color w:val="171717" w:themeColor="background2" w:themeShade="1A"/>
          <w:sz w:val="22"/>
          <w:szCs w:val="22"/>
        </w:rPr>
      </w:pPr>
      <w:r w:rsidRPr="00B674CF">
        <w:rPr>
          <w:rFonts w:ascii="Times New Roman" w:hAnsi="Times New Roman" w:cs="Times New Roman"/>
          <w:b/>
          <w:color w:val="171717" w:themeColor="background2" w:themeShade="1A"/>
          <w:sz w:val="28"/>
          <w:szCs w:val="22"/>
        </w:rPr>
        <w:t xml:space="preserve">Muscular Involvement in Dengue Fever: Clinical </w:t>
      </w:r>
      <w:r w:rsidR="00652278" w:rsidRPr="00B674CF">
        <w:rPr>
          <w:rFonts w:ascii="Times New Roman" w:hAnsi="Times New Roman" w:cs="Times New Roman"/>
          <w:b/>
          <w:color w:val="171717" w:themeColor="background2" w:themeShade="1A"/>
          <w:sz w:val="28"/>
          <w:szCs w:val="22"/>
        </w:rPr>
        <w:t>Spectrum and Pathophysiological Mechanisms</w:t>
      </w:r>
    </w:p>
    <w:p w14:paraId="7B558E2B" w14:textId="110116B2" w:rsidR="00337CA5" w:rsidRPr="00B674CF" w:rsidRDefault="00337CA5" w:rsidP="00B674CF">
      <w:pPr>
        <w:spacing w:after="0" w:line="360" w:lineRule="auto"/>
        <w:jc w:val="center"/>
        <w:rPr>
          <w:rFonts w:ascii="Times New Roman" w:hAnsi="Times New Roman" w:cs="Times New Roman"/>
          <w:b/>
          <w:color w:val="171717" w:themeColor="background2" w:themeShade="1A"/>
          <w:sz w:val="22"/>
          <w:szCs w:val="22"/>
        </w:rPr>
      </w:pPr>
      <w:r w:rsidRPr="00B674CF">
        <w:rPr>
          <w:rFonts w:ascii="Times New Roman" w:hAnsi="Times New Roman" w:cs="Times New Roman"/>
          <w:b/>
          <w:color w:val="171717" w:themeColor="background2" w:themeShade="1A"/>
          <w:sz w:val="22"/>
          <w:szCs w:val="22"/>
        </w:rPr>
        <w:t>Adnan Munir</w:t>
      </w:r>
      <w:r w:rsidR="00900026" w:rsidRPr="00B674CF">
        <w:rPr>
          <w:rFonts w:ascii="Times New Roman" w:hAnsi="Times New Roman" w:cs="Times New Roman"/>
          <w:b/>
          <w:color w:val="171717" w:themeColor="background2" w:themeShade="1A"/>
          <w:sz w:val="22"/>
          <w:szCs w:val="22"/>
          <w:vertAlign w:val="superscript"/>
        </w:rPr>
        <w:t>1</w:t>
      </w:r>
      <w:r w:rsidRPr="00B674CF">
        <w:rPr>
          <w:rFonts w:ascii="Times New Roman" w:hAnsi="Times New Roman" w:cs="Times New Roman"/>
          <w:b/>
          <w:color w:val="171717" w:themeColor="background2" w:themeShade="1A"/>
          <w:sz w:val="22"/>
          <w:szCs w:val="22"/>
        </w:rPr>
        <w:t>, Salma Zeb</w:t>
      </w:r>
      <w:r w:rsidR="00B051A6" w:rsidRPr="00B674CF">
        <w:rPr>
          <w:rFonts w:ascii="Times New Roman" w:hAnsi="Times New Roman" w:cs="Times New Roman"/>
          <w:b/>
          <w:color w:val="171717" w:themeColor="background2" w:themeShade="1A"/>
          <w:sz w:val="22"/>
          <w:szCs w:val="22"/>
          <w:vertAlign w:val="superscript"/>
        </w:rPr>
        <w:t>1</w:t>
      </w:r>
      <w:r w:rsidRPr="00B674CF">
        <w:rPr>
          <w:rFonts w:ascii="Times New Roman" w:hAnsi="Times New Roman" w:cs="Times New Roman"/>
          <w:b/>
          <w:color w:val="171717" w:themeColor="background2" w:themeShade="1A"/>
          <w:sz w:val="22"/>
          <w:szCs w:val="22"/>
        </w:rPr>
        <w:t>,</w:t>
      </w:r>
      <w:r w:rsidR="00900026" w:rsidRPr="00B674CF">
        <w:rPr>
          <w:rFonts w:ascii="Times New Roman" w:hAnsi="Times New Roman" w:cs="Times New Roman"/>
          <w:b/>
          <w:color w:val="171717" w:themeColor="background2" w:themeShade="1A"/>
          <w:sz w:val="22"/>
          <w:szCs w:val="22"/>
        </w:rPr>
        <w:t xml:space="preserve"> Abdul Majid</w:t>
      </w:r>
      <w:r w:rsidR="00900026" w:rsidRPr="00B674CF">
        <w:rPr>
          <w:rFonts w:ascii="Times New Roman" w:hAnsi="Times New Roman" w:cs="Times New Roman"/>
          <w:b/>
          <w:color w:val="171717" w:themeColor="background2" w:themeShade="1A"/>
          <w:sz w:val="22"/>
          <w:szCs w:val="22"/>
          <w:vertAlign w:val="superscript"/>
        </w:rPr>
        <w:t>1</w:t>
      </w:r>
      <w:r w:rsidR="00900026" w:rsidRPr="00B674CF">
        <w:rPr>
          <w:rFonts w:ascii="Times New Roman" w:hAnsi="Times New Roman" w:cs="Times New Roman"/>
          <w:b/>
          <w:color w:val="171717" w:themeColor="background2" w:themeShade="1A"/>
          <w:sz w:val="22"/>
          <w:szCs w:val="22"/>
        </w:rPr>
        <w:t xml:space="preserve">, </w:t>
      </w:r>
      <w:r w:rsidRPr="00B674CF">
        <w:rPr>
          <w:rFonts w:ascii="Times New Roman" w:hAnsi="Times New Roman" w:cs="Times New Roman"/>
          <w:b/>
          <w:color w:val="171717" w:themeColor="background2" w:themeShade="1A"/>
          <w:sz w:val="22"/>
          <w:szCs w:val="22"/>
        </w:rPr>
        <w:t>Hafsa</w:t>
      </w:r>
      <w:r w:rsidR="00B051A6" w:rsidRPr="00B674CF">
        <w:rPr>
          <w:rFonts w:ascii="Times New Roman" w:hAnsi="Times New Roman" w:cs="Times New Roman"/>
          <w:b/>
          <w:color w:val="171717" w:themeColor="background2" w:themeShade="1A"/>
          <w:sz w:val="22"/>
          <w:szCs w:val="22"/>
          <w:vertAlign w:val="superscript"/>
        </w:rPr>
        <w:t>2</w:t>
      </w:r>
    </w:p>
    <w:p w14:paraId="10586A8D" w14:textId="055D383A" w:rsidR="00B051A6" w:rsidRPr="00B674CF" w:rsidRDefault="00B051A6" w:rsidP="00B674CF">
      <w:pPr>
        <w:spacing w:after="0" w:line="360" w:lineRule="auto"/>
        <w:jc w:val="center"/>
        <w:rPr>
          <w:rFonts w:ascii="Times New Roman" w:hAnsi="Times New Roman" w:cs="Times New Roman"/>
          <w:i/>
          <w:color w:val="171717" w:themeColor="background2" w:themeShade="1A"/>
          <w:sz w:val="22"/>
          <w:szCs w:val="22"/>
        </w:rPr>
      </w:pPr>
      <w:r w:rsidRPr="00B674CF">
        <w:rPr>
          <w:rFonts w:ascii="Times New Roman" w:hAnsi="Times New Roman" w:cs="Times New Roman"/>
          <w:i/>
          <w:color w:val="171717" w:themeColor="background2" w:themeShade="1A"/>
          <w:sz w:val="22"/>
          <w:szCs w:val="22"/>
          <w:vertAlign w:val="superscript"/>
        </w:rPr>
        <w:t>1</w:t>
      </w:r>
      <w:r w:rsidRPr="00B674CF">
        <w:rPr>
          <w:rFonts w:ascii="Times New Roman" w:hAnsi="Times New Roman" w:cs="Times New Roman"/>
          <w:i/>
          <w:color w:val="171717" w:themeColor="background2" w:themeShade="1A"/>
          <w:sz w:val="22"/>
          <w:szCs w:val="22"/>
        </w:rPr>
        <w:t xml:space="preserve">Lady Reading Hospital, Peshawar, </w:t>
      </w:r>
      <w:r w:rsidRPr="00B674CF">
        <w:rPr>
          <w:rFonts w:ascii="Times New Roman" w:hAnsi="Times New Roman" w:cs="Times New Roman"/>
          <w:i/>
          <w:color w:val="171717" w:themeColor="background2" w:themeShade="1A"/>
          <w:sz w:val="22"/>
          <w:szCs w:val="22"/>
          <w:vertAlign w:val="superscript"/>
        </w:rPr>
        <w:t>2</w:t>
      </w:r>
      <w:r w:rsidRPr="00B674CF">
        <w:rPr>
          <w:rFonts w:ascii="Times New Roman" w:hAnsi="Times New Roman" w:cs="Times New Roman"/>
          <w:i/>
          <w:color w:val="171717" w:themeColor="background2" w:themeShade="1A"/>
          <w:sz w:val="22"/>
          <w:szCs w:val="22"/>
        </w:rPr>
        <w:t>Peshawar Medical College, Peshawar</w:t>
      </w:r>
    </w:p>
    <w:p w14:paraId="3D4B1FE1" w14:textId="1AB2F582" w:rsidR="00E10FF4" w:rsidRPr="00B674CF" w:rsidRDefault="00E10FF4" w:rsidP="00B674CF">
      <w:pPr>
        <w:spacing w:after="0" w:line="360" w:lineRule="auto"/>
        <w:jc w:val="both"/>
        <w:rPr>
          <w:rFonts w:ascii="Times New Roman" w:hAnsi="Times New Roman" w:cs="Times New Roman"/>
          <w:sz w:val="20"/>
          <w:szCs w:val="22"/>
        </w:rPr>
      </w:pPr>
      <w:r w:rsidRPr="00B674CF">
        <w:rPr>
          <w:rFonts w:ascii="Times New Roman" w:hAnsi="Times New Roman" w:cs="Times New Roman"/>
          <w:b/>
          <w:bCs/>
          <w:sz w:val="20"/>
          <w:szCs w:val="22"/>
        </w:rPr>
        <w:t>Abstract</w:t>
      </w:r>
    </w:p>
    <w:p w14:paraId="47A1E34B" w14:textId="77777777" w:rsidR="00395336" w:rsidRPr="00B674CF" w:rsidRDefault="009139FF" w:rsidP="00B674CF">
      <w:pPr>
        <w:spacing w:after="0" w:line="360" w:lineRule="auto"/>
        <w:jc w:val="both"/>
        <w:rPr>
          <w:rFonts w:ascii="Times New Roman" w:hAnsi="Times New Roman" w:cs="Times New Roman"/>
          <w:bCs/>
          <w:color w:val="171717" w:themeColor="background2" w:themeShade="1A"/>
          <w:sz w:val="20"/>
          <w:szCs w:val="22"/>
        </w:rPr>
      </w:pPr>
      <w:r w:rsidRPr="00B674CF">
        <w:rPr>
          <w:rFonts w:ascii="Times New Roman" w:hAnsi="Times New Roman" w:cs="Times New Roman"/>
          <w:b/>
          <w:color w:val="171717" w:themeColor="background2" w:themeShade="1A"/>
          <w:sz w:val="20"/>
          <w:szCs w:val="22"/>
        </w:rPr>
        <w:t>Objective</w:t>
      </w:r>
      <w:r w:rsidRPr="00B674CF">
        <w:rPr>
          <w:rFonts w:ascii="Times New Roman" w:hAnsi="Times New Roman" w:cs="Times New Roman"/>
          <w:bCs/>
          <w:color w:val="171717" w:themeColor="background2" w:themeShade="1A"/>
          <w:sz w:val="20"/>
          <w:szCs w:val="22"/>
        </w:rPr>
        <w:t>:</w:t>
      </w:r>
      <w:r w:rsidR="00596439" w:rsidRPr="00B674CF">
        <w:rPr>
          <w:rFonts w:ascii="Times New Roman" w:hAnsi="Times New Roman" w:cs="Times New Roman"/>
          <w:bCs/>
          <w:color w:val="171717" w:themeColor="background2" w:themeShade="1A"/>
          <w:sz w:val="20"/>
          <w:szCs w:val="22"/>
        </w:rPr>
        <w:t xml:space="preserve"> To determine the prevalence and clinical characteristics of muscular involvement in dengue infection, including myalgia, myositis, rhabdomyolysis, and </w:t>
      </w:r>
      <w:proofErr w:type="spellStart"/>
      <w:r w:rsidR="00596439" w:rsidRPr="00B674CF">
        <w:rPr>
          <w:rFonts w:ascii="Times New Roman" w:hAnsi="Times New Roman" w:cs="Times New Roman"/>
          <w:bCs/>
          <w:color w:val="171717" w:themeColor="background2" w:themeShade="1A"/>
          <w:sz w:val="20"/>
          <w:szCs w:val="22"/>
        </w:rPr>
        <w:t>hypokalaemic</w:t>
      </w:r>
      <w:proofErr w:type="spellEnd"/>
      <w:r w:rsidR="00596439" w:rsidRPr="00B674CF">
        <w:rPr>
          <w:rFonts w:ascii="Times New Roman" w:hAnsi="Times New Roman" w:cs="Times New Roman"/>
          <w:bCs/>
          <w:color w:val="171717" w:themeColor="background2" w:themeShade="1A"/>
          <w:sz w:val="20"/>
          <w:szCs w:val="22"/>
        </w:rPr>
        <w:t xml:space="preserve"> paralysis, by evaluating clinical presentations and laboratory parameters—particularly creatine phosphokinase (CPK) levels—in patients presenting to the outpatient department and those admitted to the dengue ward.</w:t>
      </w:r>
    </w:p>
    <w:p w14:paraId="46E947F2" w14:textId="102FAF95" w:rsidR="00362D90" w:rsidRPr="00B674CF" w:rsidRDefault="00E10FF4" w:rsidP="00B674CF">
      <w:pPr>
        <w:spacing w:after="0" w:line="360" w:lineRule="auto"/>
        <w:jc w:val="both"/>
        <w:rPr>
          <w:rFonts w:ascii="Times New Roman" w:hAnsi="Times New Roman" w:cs="Times New Roman"/>
          <w:bCs/>
          <w:sz w:val="20"/>
          <w:szCs w:val="22"/>
        </w:rPr>
      </w:pPr>
      <w:r w:rsidRPr="00B674CF">
        <w:rPr>
          <w:rFonts w:ascii="Times New Roman" w:hAnsi="Times New Roman" w:cs="Times New Roman"/>
          <w:b/>
          <w:sz w:val="20"/>
          <w:szCs w:val="22"/>
        </w:rPr>
        <w:t>Method</w:t>
      </w:r>
      <w:r w:rsidR="00395336" w:rsidRPr="00B674CF">
        <w:rPr>
          <w:rFonts w:ascii="Times New Roman" w:hAnsi="Times New Roman" w:cs="Times New Roman"/>
          <w:b/>
          <w:sz w:val="20"/>
          <w:szCs w:val="22"/>
        </w:rPr>
        <w:t>s</w:t>
      </w:r>
      <w:r w:rsidRPr="00B674CF">
        <w:rPr>
          <w:rFonts w:ascii="Times New Roman" w:hAnsi="Times New Roman" w:cs="Times New Roman"/>
          <w:bCs/>
          <w:sz w:val="20"/>
          <w:szCs w:val="22"/>
        </w:rPr>
        <w:t xml:space="preserve">: We conducted a </w:t>
      </w:r>
      <w:r w:rsidR="00F15D20" w:rsidRPr="00B674CF">
        <w:rPr>
          <w:rFonts w:ascii="Times New Roman" w:hAnsi="Times New Roman" w:cs="Times New Roman"/>
          <w:bCs/>
          <w:sz w:val="20"/>
          <w:szCs w:val="22"/>
        </w:rPr>
        <w:t>prospective descriptive</w:t>
      </w:r>
      <w:r w:rsidRPr="00B674CF">
        <w:rPr>
          <w:rFonts w:ascii="Times New Roman" w:hAnsi="Times New Roman" w:cs="Times New Roman"/>
          <w:bCs/>
          <w:sz w:val="20"/>
          <w:szCs w:val="22"/>
        </w:rPr>
        <w:t xml:space="preserve"> study including 75 patients with confirmed dengue fever. Demographic, clinical, and biochemical data were collected. Muscular involvement was classified as myalgia, myositis, rhabdomyolysis, or hypokalemic paralysis. Creatine phosphokinase (CPK) levels and other laboratory parameters were recorded. Associations were assessed using chi-square/Fisher’s exact tests, Mann–Whitney U test, and odds ratios with 95% confidence intervals.</w:t>
      </w:r>
    </w:p>
    <w:p w14:paraId="1D1FCE51" w14:textId="152F91B1" w:rsidR="00362D90" w:rsidRPr="00B674CF" w:rsidRDefault="00E10FF4" w:rsidP="00B674CF">
      <w:pPr>
        <w:spacing w:after="0" w:line="360" w:lineRule="auto"/>
        <w:jc w:val="both"/>
        <w:rPr>
          <w:rFonts w:ascii="Times New Roman" w:hAnsi="Times New Roman" w:cs="Times New Roman"/>
          <w:bCs/>
          <w:sz w:val="20"/>
          <w:szCs w:val="22"/>
        </w:rPr>
      </w:pPr>
      <w:r w:rsidRPr="00B674CF">
        <w:rPr>
          <w:rFonts w:ascii="Times New Roman" w:hAnsi="Times New Roman" w:cs="Times New Roman"/>
          <w:b/>
          <w:sz w:val="20"/>
          <w:szCs w:val="22"/>
        </w:rPr>
        <w:t>Results</w:t>
      </w:r>
      <w:r w:rsidRPr="00B674CF">
        <w:rPr>
          <w:rFonts w:ascii="Times New Roman" w:hAnsi="Times New Roman" w:cs="Times New Roman"/>
          <w:bCs/>
          <w:sz w:val="20"/>
          <w:szCs w:val="22"/>
        </w:rPr>
        <w:t>: The mean age of participants was 36.8 ± 16.5 years; 70.7% were male. Elevated CPK was observed in 48.0% of patients. Rhabdomyolysis occurred exclusively in those with elevated CPK (22.2% vs. 0.0%; Fisher’s exact p = 0.0018; OR = 22.3, 95% CI 1.23–404.2). Muscle weakness was significantly more common in patients with elevated CPK (44.4% vs. 5.1%; χ² = 13.78, p &lt; 0.001; OR = 14.8, 95% CI 3.09–70.95). No significant association was found between CPK status and self-reported muscle pain (p = 0.968). No participants exhibited electrolyte imbalance.</w:t>
      </w:r>
    </w:p>
    <w:p w14:paraId="0612CBD1" w14:textId="286507CF" w:rsidR="00E10FF4" w:rsidRPr="00B674CF" w:rsidRDefault="00E10FF4" w:rsidP="00B674CF">
      <w:pPr>
        <w:spacing w:after="0" w:line="360" w:lineRule="auto"/>
        <w:jc w:val="both"/>
        <w:rPr>
          <w:rFonts w:ascii="Times New Roman" w:hAnsi="Times New Roman" w:cs="Times New Roman"/>
          <w:bCs/>
          <w:sz w:val="20"/>
          <w:szCs w:val="22"/>
        </w:rPr>
      </w:pPr>
      <w:r w:rsidRPr="00B674CF">
        <w:rPr>
          <w:rFonts w:ascii="Times New Roman" w:hAnsi="Times New Roman" w:cs="Times New Roman"/>
          <w:b/>
          <w:sz w:val="20"/>
          <w:szCs w:val="22"/>
        </w:rPr>
        <w:t>Conclusion</w:t>
      </w:r>
      <w:r w:rsidRPr="00B674CF">
        <w:rPr>
          <w:rFonts w:ascii="Times New Roman" w:hAnsi="Times New Roman" w:cs="Times New Roman"/>
          <w:bCs/>
          <w:sz w:val="20"/>
          <w:szCs w:val="22"/>
        </w:rPr>
        <w:t>: Muscular complications, including rhabdomyolysis and weakness, are significantly associated with elevated CPK in dengue fever. Routine CPK monitoring may help in early detection of severe muscular involvement. Larger, multicenter studies are warranted.</w:t>
      </w:r>
    </w:p>
    <w:p w14:paraId="4016308A" w14:textId="58FD5714" w:rsidR="005A13BF" w:rsidRPr="00B674CF" w:rsidRDefault="009139FF" w:rsidP="00B674CF">
      <w:pPr>
        <w:spacing w:after="0"/>
        <w:jc w:val="both"/>
        <w:rPr>
          <w:rFonts w:ascii="Times New Roman" w:hAnsi="Times New Roman" w:cs="Times New Roman"/>
          <w:color w:val="171717" w:themeColor="background2" w:themeShade="1A"/>
          <w:sz w:val="20"/>
          <w:szCs w:val="22"/>
        </w:rPr>
      </w:pPr>
      <w:r w:rsidRPr="00B674CF">
        <w:rPr>
          <w:rFonts w:ascii="Times New Roman" w:hAnsi="Times New Roman" w:cs="Times New Roman"/>
          <w:b/>
          <w:bCs/>
          <w:color w:val="171717" w:themeColor="background2" w:themeShade="1A"/>
          <w:sz w:val="20"/>
          <w:szCs w:val="22"/>
        </w:rPr>
        <w:t>Keywords</w:t>
      </w:r>
      <w:r w:rsidRPr="00B674CF">
        <w:rPr>
          <w:rFonts w:ascii="Times New Roman" w:hAnsi="Times New Roman" w:cs="Times New Roman"/>
          <w:color w:val="171717" w:themeColor="background2" w:themeShade="1A"/>
          <w:sz w:val="20"/>
          <w:szCs w:val="22"/>
        </w:rPr>
        <w:t>:</w:t>
      </w:r>
      <w:r w:rsidR="000E06F1" w:rsidRPr="00B674CF">
        <w:rPr>
          <w:rFonts w:ascii="Times New Roman" w:hAnsi="Times New Roman" w:cs="Times New Roman"/>
          <w:color w:val="171717" w:themeColor="background2" w:themeShade="1A"/>
          <w:sz w:val="20"/>
          <w:szCs w:val="22"/>
        </w:rPr>
        <w:t xml:space="preserve"> Dengue fever; Myositis; Rhabdomyolysis; Creatinine Phosphokinase.</w:t>
      </w:r>
    </w:p>
    <w:p w14:paraId="31E1B772" w14:textId="77777777" w:rsidR="00395336" w:rsidRPr="00B674CF" w:rsidRDefault="00395336" w:rsidP="00B674CF">
      <w:pPr>
        <w:spacing w:after="0" w:line="240" w:lineRule="auto"/>
        <w:jc w:val="both"/>
        <w:rPr>
          <w:rFonts w:ascii="Times New Roman" w:hAnsi="Times New Roman" w:cs="Times New Roman"/>
          <w:b/>
          <w:bCs/>
          <w:sz w:val="20"/>
        </w:rPr>
      </w:pPr>
      <w:r w:rsidRPr="00B674CF">
        <w:rPr>
          <w:rFonts w:ascii="Times New Roman" w:hAnsi="Times New Roman" w:cs="Times New Roman"/>
          <w:b/>
          <w:bCs/>
          <w:sz w:val="20"/>
        </w:rPr>
        <w:t xml:space="preserve">How to cite this: </w:t>
      </w:r>
    </w:p>
    <w:p w14:paraId="3B47715F" w14:textId="77777777" w:rsidR="00395336" w:rsidRPr="00B674CF" w:rsidRDefault="00395336" w:rsidP="00B674CF">
      <w:pPr>
        <w:spacing w:after="0" w:line="240" w:lineRule="auto"/>
        <w:jc w:val="both"/>
        <w:rPr>
          <w:rFonts w:ascii="Times New Roman" w:hAnsi="Times New Roman" w:cs="Times New Roman"/>
          <w:b/>
          <w:bCs/>
          <w:sz w:val="20"/>
        </w:rPr>
      </w:pPr>
      <w:r w:rsidRPr="00B674CF">
        <w:rPr>
          <w:rFonts w:ascii="Times New Roman" w:hAnsi="Times New Roman" w:cs="Times New Roman"/>
          <w:sz w:val="20"/>
        </w:rPr>
        <w:t>Munir A, Zeb S, Majid A, Hafsa. Muscular Involvement in Dengue Fever: Clinical Spectrum and Pathophysiological Mechanisms. J Pak Soc Intern Med. 2026;7(3):</w:t>
      </w:r>
    </w:p>
    <w:p w14:paraId="3ED52500" w14:textId="3EEF0308" w:rsidR="00395336" w:rsidRPr="00B674CF" w:rsidRDefault="00395336" w:rsidP="00B674CF">
      <w:pPr>
        <w:spacing w:after="0" w:line="240" w:lineRule="auto"/>
        <w:jc w:val="both"/>
        <w:rPr>
          <w:rFonts w:ascii="Times New Roman" w:hAnsi="Times New Roman" w:cs="Times New Roman"/>
          <w:sz w:val="20"/>
          <w:u w:val="single"/>
        </w:rPr>
      </w:pPr>
      <w:r w:rsidRPr="00B674CF">
        <w:rPr>
          <w:rFonts w:ascii="Times New Roman" w:hAnsi="Times New Roman" w:cs="Times New Roman"/>
          <w:b/>
          <w:bCs/>
          <w:sz w:val="20"/>
        </w:rPr>
        <w:t>Corresponding Author:</w:t>
      </w:r>
      <w:r w:rsidRPr="00B674CF">
        <w:rPr>
          <w:rFonts w:ascii="Times New Roman" w:hAnsi="Times New Roman" w:cs="Times New Roman"/>
          <w:sz w:val="20"/>
        </w:rPr>
        <w:t xml:space="preserve"> Dr. </w:t>
      </w:r>
      <w:r w:rsidR="00121000">
        <w:rPr>
          <w:rFonts w:ascii="Times New Roman" w:hAnsi="Times New Roman" w:cs="Times New Roman"/>
          <w:sz w:val="20"/>
        </w:rPr>
        <w:t>Salma Zeb</w:t>
      </w:r>
      <w:r w:rsidRPr="00B674CF">
        <w:rPr>
          <w:rFonts w:ascii="Times New Roman" w:hAnsi="Times New Roman" w:cs="Times New Roman"/>
          <w:sz w:val="20"/>
        </w:rPr>
        <w:tab/>
      </w:r>
      <w:r w:rsidRPr="00B674CF">
        <w:rPr>
          <w:rFonts w:ascii="Times New Roman" w:hAnsi="Times New Roman" w:cs="Times New Roman"/>
          <w:sz w:val="20"/>
        </w:rPr>
        <w:tab/>
      </w:r>
      <w:r w:rsidRPr="00B674CF">
        <w:rPr>
          <w:rFonts w:ascii="Times New Roman" w:hAnsi="Times New Roman" w:cs="Times New Roman"/>
          <w:sz w:val="20"/>
        </w:rPr>
        <w:tab/>
      </w:r>
      <w:r w:rsidRPr="00B674CF">
        <w:rPr>
          <w:rFonts w:ascii="Times New Roman" w:hAnsi="Times New Roman" w:cs="Times New Roman"/>
          <w:b/>
          <w:bCs/>
          <w:sz w:val="20"/>
        </w:rPr>
        <w:t>Email:</w:t>
      </w:r>
      <w:r w:rsidRPr="00B674CF">
        <w:rPr>
          <w:rFonts w:ascii="Times New Roman" w:hAnsi="Times New Roman" w:cs="Times New Roman"/>
          <w:sz w:val="20"/>
        </w:rPr>
        <w:t xml:space="preserve"> </w:t>
      </w:r>
      <w:r w:rsidR="00121000" w:rsidRPr="00DF2B4C">
        <w:rPr>
          <w:rStyle w:val="Hyperlink"/>
          <w:rFonts w:ascii="Times New Roman" w:hAnsi="Times New Roman" w:cs="Times New Roman"/>
          <w:sz w:val="20"/>
          <w:szCs w:val="20"/>
        </w:rPr>
        <w:t>salmazeb044@gmail.com</w:t>
      </w:r>
    </w:p>
    <w:p w14:paraId="11F94286" w14:textId="4FD52FF4" w:rsidR="00395336" w:rsidRPr="00B674CF" w:rsidRDefault="00395336" w:rsidP="00B674CF">
      <w:pPr>
        <w:spacing w:after="0" w:line="240" w:lineRule="auto"/>
        <w:jc w:val="both"/>
        <w:rPr>
          <w:rFonts w:ascii="Times New Roman" w:hAnsi="Times New Roman" w:cs="Times New Roman"/>
          <w:b/>
          <w:bCs/>
          <w:sz w:val="20"/>
        </w:rPr>
      </w:pPr>
      <w:r w:rsidRPr="00B674CF">
        <w:rPr>
          <w:rFonts w:ascii="Times New Roman" w:hAnsi="Times New Roman" w:cs="Times New Roman"/>
          <w:b/>
          <w:bCs/>
          <w:sz w:val="20"/>
        </w:rPr>
        <w:t xml:space="preserve">Received: </w:t>
      </w:r>
      <w:r w:rsidR="00E662B9">
        <w:rPr>
          <w:rFonts w:ascii="Times New Roman" w:hAnsi="Times New Roman" w:cs="Times New Roman"/>
          <w:b/>
          <w:bCs/>
          <w:sz w:val="20"/>
        </w:rPr>
        <w:t>23-02-2026</w:t>
      </w:r>
      <w:r w:rsidRPr="00B674CF">
        <w:rPr>
          <w:rFonts w:ascii="Times New Roman" w:hAnsi="Times New Roman" w:cs="Times New Roman"/>
          <w:b/>
          <w:bCs/>
          <w:sz w:val="20"/>
        </w:rPr>
        <w:tab/>
      </w:r>
      <w:r w:rsidRPr="00B674CF">
        <w:rPr>
          <w:rFonts w:ascii="Times New Roman" w:hAnsi="Times New Roman" w:cs="Times New Roman"/>
          <w:b/>
          <w:bCs/>
          <w:sz w:val="20"/>
        </w:rPr>
        <w:tab/>
        <w:t>Revised:</w:t>
      </w:r>
      <w:r w:rsidR="00E662B9">
        <w:rPr>
          <w:rFonts w:ascii="Times New Roman" w:hAnsi="Times New Roman" w:cs="Times New Roman"/>
          <w:b/>
          <w:bCs/>
          <w:sz w:val="20"/>
        </w:rPr>
        <w:t xml:space="preserve"> 03-06-2026</w:t>
      </w:r>
      <w:r w:rsidRPr="00B674CF">
        <w:rPr>
          <w:rFonts w:ascii="Times New Roman" w:hAnsi="Times New Roman" w:cs="Times New Roman"/>
          <w:b/>
          <w:bCs/>
          <w:sz w:val="20"/>
        </w:rPr>
        <w:tab/>
        <w:t xml:space="preserve">Accepted: </w:t>
      </w:r>
      <w:r w:rsidR="00A255E5">
        <w:rPr>
          <w:rFonts w:ascii="Times New Roman" w:hAnsi="Times New Roman" w:cs="Times New Roman"/>
          <w:b/>
          <w:bCs/>
          <w:sz w:val="20"/>
        </w:rPr>
        <w:t>12-08-2026</w:t>
      </w:r>
    </w:p>
    <w:p w14:paraId="5A4DF199" w14:textId="5D9720CF" w:rsidR="00E10FF4" w:rsidRPr="00B674CF" w:rsidRDefault="00395336" w:rsidP="00B674CF">
      <w:pPr>
        <w:spacing w:after="0" w:line="360" w:lineRule="auto"/>
        <w:jc w:val="both"/>
        <w:rPr>
          <w:rFonts w:ascii="Times New Roman" w:hAnsi="Times New Roman" w:cs="Times New Roman"/>
          <w:bCs/>
          <w:sz w:val="22"/>
          <w:szCs w:val="22"/>
        </w:rPr>
      </w:pPr>
      <w:r w:rsidRPr="00B674CF">
        <w:rPr>
          <w:rFonts w:ascii="Times New Roman" w:hAnsi="Times New Roman" w:cs="Times New Roman"/>
          <w:b/>
          <w:bCs/>
          <w:sz w:val="20"/>
        </w:rPr>
        <w:t>DOI:</w:t>
      </w:r>
      <w:r w:rsidRPr="00B674CF">
        <w:rPr>
          <w:rFonts w:ascii="Times New Roman" w:hAnsi="Times New Roman" w:cs="Times New Roman"/>
          <w:sz w:val="20"/>
        </w:rPr>
        <w:t xml:space="preserve"> </w:t>
      </w:r>
      <w:hyperlink r:id="rId5" w:history="1">
        <w:r w:rsidRPr="00B674CF">
          <w:rPr>
            <w:rStyle w:val="Hyperlink"/>
            <w:rFonts w:ascii="Times New Roman" w:hAnsi="Times New Roman" w:cs="Times New Roman"/>
            <w:sz w:val="20"/>
            <w:lang w:val="en"/>
          </w:rPr>
          <w:t>https://doi.org/10.70302/jpsim.v7i3.26</w:t>
        </w:r>
        <w:r w:rsidR="000C5059">
          <w:rPr>
            <w:rStyle w:val="Hyperlink"/>
            <w:rFonts w:ascii="Times New Roman" w:hAnsi="Times New Roman" w:cs="Times New Roman"/>
            <w:sz w:val="20"/>
            <w:lang w:val="en"/>
          </w:rPr>
          <w:t>48</w:t>
        </w:r>
      </w:hyperlink>
    </w:p>
    <w:p w14:paraId="08315019" w14:textId="77777777" w:rsidR="00E10FF4" w:rsidRPr="00B674CF" w:rsidRDefault="00E10FF4" w:rsidP="00B674CF">
      <w:pPr>
        <w:spacing w:after="0" w:line="360" w:lineRule="auto"/>
        <w:jc w:val="both"/>
        <w:rPr>
          <w:rFonts w:ascii="Times New Roman" w:hAnsi="Times New Roman" w:cs="Times New Roman"/>
          <w:bCs/>
          <w:sz w:val="22"/>
          <w:szCs w:val="22"/>
        </w:rPr>
      </w:pPr>
    </w:p>
    <w:p w14:paraId="494008F3" w14:textId="7A572659" w:rsidR="0007199B" w:rsidRPr="00B674CF" w:rsidRDefault="00B674CF" w:rsidP="00B674CF">
      <w:pPr>
        <w:spacing w:after="0" w:line="360" w:lineRule="auto"/>
        <w:jc w:val="both"/>
        <w:rPr>
          <w:rFonts w:ascii="Times New Roman" w:hAnsi="Times New Roman" w:cs="Times New Roman"/>
          <w:b/>
          <w:sz w:val="22"/>
          <w:szCs w:val="22"/>
        </w:rPr>
      </w:pPr>
      <w:r w:rsidRPr="00B674CF">
        <w:rPr>
          <w:rFonts w:ascii="Times New Roman" w:hAnsi="Times New Roman" w:cs="Times New Roman"/>
          <w:b/>
          <w:sz w:val="22"/>
          <w:szCs w:val="22"/>
        </w:rPr>
        <w:t>Introduction</w:t>
      </w:r>
    </w:p>
    <w:p w14:paraId="71A2E4C2" w14:textId="50EBCB59" w:rsidR="00084B5C" w:rsidRPr="00B674CF" w:rsidRDefault="005A13BF" w:rsidP="00B674CF">
      <w:pPr>
        <w:spacing w:after="0" w:line="360" w:lineRule="auto"/>
        <w:jc w:val="both"/>
        <w:rPr>
          <w:rFonts w:ascii="Times New Roman" w:hAnsi="Times New Roman" w:cs="Times New Roman"/>
          <w:sz w:val="22"/>
          <w:szCs w:val="22"/>
          <w:vertAlign w:val="superscript"/>
        </w:rPr>
      </w:pPr>
      <w:r w:rsidRPr="00B674CF">
        <w:rPr>
          <w:rFonts w:ascii="Times New Roman" w:hAnsi="Times New Roman" w:cs="Times New Roman"/>
          <w:sz w:val="22"/>
          <w:szCs w:val="22"/>
        </w:rPr>
        <w:t xml:space="preserve"> Dengue fever is caused by the dengue virus (DENV), which has four serotypes (DENV1, DENV2, DENV3, and DENV4). The virus is transmitted through the bite of female</w:t>
      </w:r>
      <w:r w:rsidR="00117D65" w:rsidRPr="00B674CF">
        <w:rPr>
          <w:rFonts w:ascii="Times New Roman" w:hAnsi="Times New Roman" w:cs="Times New Roman"/>
          <w:color w:val="171717" w:themeColor="background2" w:themeShade="1A"/>
          <w:sz w:val="22"/>
          <w:szCs w:val="22"/>
        </w:rPr>
        <w:t xml:space="preserve"> Aedes aegypti mosquitoes.</w:t>
      </w:r>
      <w:r w:rsidR="000E06F1" w:rsidRPr="00B674CF">
        <w:rPr>
          <w:rFonts w:ascii="Times New Roman" w:hAnsi="Times New Roman" w:cs="Times New Roman"/>
          <w:color w:val="171717" w:themeColor="background2" w:themeShade="1A"/>
          <w:sz w:val="22"/>
          <w:szCs w:val="22"/>
        </w:rPr>
        <w:t xml:space="preserve"> </w:t>
      </w:r>
      <w:r w:rsidRPr="00B674CF">
        <w:rPr>
          <w:rFonts w:ascii="Times New Roman" w:hAnsi="Times New Roman" w:cs="Times New Roman"/>
          <w:sz w:val="22"/>
          <w:szCs w:val="22"/>
        </w:rPr>
        <w:t>Transmission occurs when an infected mosquito bites a new host after feeding on the blood of an infected individual.</w:t>
      </w:r>
      <w:r w:rsidR="00084B5C" w:rsidRPr="00B674CF">
        <w:rPr>
          <w:rFonts w:ascii="Times New Roman" w:hAnsi="Times New Roman" w:cs="Times New Roman"/>
          <w:sz w:val="22"/>
          <w:szCs w:val="22"/>
        </w:rPr>
        <w:t xml:space="preserve">  Dengue fever can affect individuals of all ages and can be life-threatening if it progresses to severe dengue. Symptoms include fever, flu-like symptoms, eye pain, dengue </w:t>
      </w:r>
      <w:proofErr w:type="spellStart"/>
      <w:r w:rsidR="00084B5C" w:rsidRPr="00B674CF">
        <w:rPr>
          <w:rFonts w:ascii="Times New Roman" w:hAnsi="Times New Roman" w:cs="Times New Roman"/>
          <w:sz w:val="22"/>
          <w:szCs w:val="22"/>
        </w:rPr>
        <w:t>haemorrhagic</w:t>
      </w:r>
      <w:proofErr w:type="spellEnd"/>
      <w:r w:rsidR="00084B5C" w:rsidRPr="00B674CF">
        <w:rPr>
          <w:rFonts w:ascii="Times New Roman" w:hAnsi="Times New Roman" w:cs="Times New Roman"/>
          <w:sz w:val="22"/>
          <w:szCs w:val="22"/>
        </w:rPr>
        <w:t xml:space="preserve"> fever, </w:t>
      </w:r>
      <w:r w:rsidR="00084B5C" w:rsidRPr="00B674CF">
        <w:rPr>
          <w:rFonts w:ascii="Times New Roman" w:hAnsi="Times New Roman" w:cs="Times New Roman"/>
          <w:sz w:val="22"/>
          <w:szCs w:val="22"/>
        </w:rPr>
        <w:lastRenderedPageBreak/>
        <w:t xml:space="preserve">circulatory failure leading to shock, thrombocytopenia (low platelet count), and </w:t>
      </w:r>
      <w:proofErr w:type="spellStart"/>
      <w:r w:rsidR="00084B5C" w:rsidRPr="00B674CF">
        <w:rPr>
          <w:rFonts w:ascii="Times New Roman" w:hAnsi="Times New Roman" w:cs="Times New Roman"/>
          <w:sz w:val="22"/>
          <w:szCs w:val="22"/>
        </w:rPr>
        <w:t>anaemia</w:t>
      </w:r>
      <w:proofErr w:type="spellEnd"/>
      <w:r w:rsidR="00084B5C" w:rsidRPr="00B674CF">
        <w:rPr>
          <w:rFonts w:ascii="Times New Roman" w:hAnsi="Times New Roman" w:cs="Times New Roman"/>
          <w:sz w:val="22"/>
          <w:szCs w:val="22"/>
        </w:rPr>
        <w:t xml:space="preserve"> (low red blood cell count)</w:t>
      </w:r>
      <w:r w:rsidR="00627301" w:rsidRPr="00B674CF">
        <w:rPr>
          <w:rFonts w:ascii="Times New Roman" w:hAnsi="Times New Roman" w:cs="Times New Roman"/>
          <w:sz w:val="22"/>
          <w:szCs w:val="22"/>
        </w:rPr>
        <w:t>.</w:t>
      </w:r>
      <w:r w:rsidR="00627301" w:rsidRPr="00B674CF">
        <w:rPr>
          <w:rFonts w:ascii="Times New Roman" w:hAnsi="Times New Roman" w:cs="Times New Roman"/>
          <w:sz w:val="22"/>
          <w:szCs w:val="22"/>
          <w:vertAlign w:val="superscript"/>
        </w:rPr>
        <w:fldChar w:fldCharType="begin"/>
      </w:r>
      <w:r w:rsidR="00CD2508" w:rsidRPr="00B674CF">
        <w:rPr>
          <w:rFonts w:ascii="Times New Roman" w:hAnsi="Times New Roman" w:cs="Times New Roman"/>
          <w:sz w:val="22"/>
          <w:szCs w:val="22"/>
          <w:vertAlign w:val="superscript"/>
        </w:rPr>
        <w:instrText xml:space="preserve"> ADDIN EN.CITE &lt;EndNote&gt;&lt;Cite&gt;&lt;Author&gt;Garg&lt;/Author&gt;&lt;Year&gt;2015&lt;/Year&gt;&lt;RecNum&gt;27&lt;/RecNum&gt;&lt;DisplayText&gt;1&lt;/DisplayText&gt;&lt;record&gt;&lt;rec-number&gt;27&lt;/rec-number&gt;&lt;foreign-keys&gt;&lt;key app="EN" db-id="02z25wdvbps9aiez5zrpdvwaxrsa5et0rw9z" timestamp="1757130482"&gt;27&lt;/key&gt;&lt;/foreign-keys&gt;&lt;ref-type name="Journal Article"&gt;17&lt;/ref-type&gt;&lt;contributors&gt;&lt;authors&gt;&lt;author&gt;Garg, Ravindra Kumar&lt;/author&gt;&lt;author&gt;Malhotra, Hardeep Singh&lt;/author&gt;&lt;author&gt;Jain, Amita&lt;/author&gt;&lt;author&gt;Malhotra, Kiran Preet&lt;/author&gt;&lt;/authors&gt;&lt;/contributors&gt;&lt;titles&gt;&lt;title&gt;Dengue-associated neuromuscular complications&lt;/title&gt;&lt;secondary-title&gt;Neurology India&lt;/secondary-title&gt;&lt;/titles&gt;&lt;periodical&gt;&lt;full-title&gt;Neurology India&lt;/full-title&gt;&lt;/periodical&gt;&lt;volume&gt;63&lt;/volume&gt;&lt;number&gt;4&lt;/number&gt;&lt;keywords&gt;&lt;keyword&gt;Guillain–Barré syndrome&lt;/keyword&gt;&lt;keyword&gt;hypokalemic paralysis&lt;/keyword&gt;&lt;keyword&gt;myalgia&lt;/keyword&gt;&lt;keyword&gt;myositis&lt;/keyword&gt;&lt;keyword&gt;neuralgic amyotrophy&lt;/keyword&gt;&lt;keyword&gt;peripheral neuropathy&lt;/keyword&gt;&lt;keyword&gt;plexopathy&lt;/keyword&gt;&lt;keyword&gt;rhabdomyolysis&lt;/keyword&gt;&lt;/keywords&gt;&lt;dates&gt;&lt;year&gt;2015&lt;/year&gt;&lt;/dates&gt;&lt;isbn&gt;0028-3886&lt;/isbn&gt;&lt;urls&gt;&lt;related-urls&gt;&lt;url&gt;https://journals.lww.com/neur/fulltext/2015/63040/dengue_associated_neuromuscular_complications.13.aspx&lt;/url&gt;&lt;/related-urls&gt;&lt;/urls&gt;&lt;/record&gt;&lt;/Cite&gt;&lt;/EndNote&gt;</w:instrText>
      </w:r>
      <w:r w:rsidR="00627301" w:rsidRPr="00B674CF">
        <w:rPr>
          <w:rFonts w:ascii="Times New Roman" w:hAnsi="Times New Roman" w:cs="Times New Roman"/>
          <w:sz w:val="22"/>
          <w:szCs w:val="22"/>
          <w:vertAlign w:val="superscript"/>
        </w:rPr>
        <w:fldChar w:fldCharType="separate"/>
      </w:r>
      <w:r w:rsidR="00CD2508" w:rsidRPr="00B674CF">
        <w:rPr>
          <w:rFonts w:ascii="Times New Roman" w:hAnsi="Times New Roman" w:cs="Times New Roman"/>
          <w:noProof/>
          <w:sz w:val="22"/>
          <w:szCs w:val="22"/>
          <w:vertAlign w:val="superscript"/>
        </w:rPr>
        <w:t>1</w:t>
      </w:r>
      <w:r w:rsidR="00627301" w:rsidRPr="00B674CF">
        <w:rPr>
          <w:rFonts w:ascii="Times New Roman" w:hAnsi="Times New Roman" w:cs="Times New Roman"/>
          <w:sz w:val="22"/>
          <w:szCs w:val="22"/>
          <w:vertAlign w:val="superscript"/>
        </w:rPr>
        <w:fldChar w:fldCharType="end"/>
      </w:r>
    </w:p>
    <w:p w14:paraId="2E50F55A" w14:textId="2FBD6FC7" w:rsidR="005A13BF" w:rsidRPr="00B674CF" w:rsidRDefault="005A13BF" w:rsidP="00B674CF">
      <w:pPr>
        <w:spacing w:after="0" w:line="360" w:lineRule="auto"/>
        <w:jc w:val="both"/>
        <w:rPr>
          <w:rFonts w:ascii="Times New Roman" w:hAnsi="Times New Roman" w:cs="Times New Roman"/>
          <w:sz w:val="22"/>
          <w:szCs w:val="22"/>
          <w:vertAlign w:val="superscript"/>
        </w:rPr>
      </w:pPr>
      <w:r w:rsidRPr="00B674CF">
        <w:rPr>
          <w:rFonts w:ascii="Times New Roman" w:hAnsi="Times New Roman" w:cs="Times New Roman"/>
          <w:sz w:val="22"/>
          <w:szCs w:val="22"/>
        </w:rPr>
        <w:t xml:space="preserve">A study estimates that approximately 3.9 billion people are at risk of contracting dengue. While 128 countries are vulnerable, the majority of the susceptible population (70%) </w:t>
      </w:r>
      <w:r w:rsidR="00117D65" w:rsidRPr="00B674CF">
        <w:rPr>
          <w:rFonts w:ascii="Times New Roman" w:hAnsi="Times New Roman" w:cs="Times New Roman"/>
          <w:color w:val="171717" w:themeColor="background2" w:themeShade="1A"/>
          <w:sz w:val="22"/>
          <w:szCs w:val="22"/>
        </w:rPr>
        <w:t>resides</w:t>
      </w:r>
      <w:r w:rsidR="000E06F1" w:rsidRPr="00B674CF">
        <w:rPr>
          <w:rFonts w:ascii="Times New Roman" w:hAnsi="Times New Roman" w:cs="Times New Roman"/>
          <w:sz w:val="22"/>
          <w:szCs w:val="22"/>
        </w:rPr>
        <w:t xml:space="preserve"> </w:t>
      </w:r>
      <w:r w:rsidRPr="00B674CF">
        <w:rPr>
          <w:rFonts w:ascii="Times New Roman" w:hAnsi="Times New Roman" w:cs="Times New Roman"/>
          <w:sz w:val="22"/>
          <w:szCs w:val="22"/>
        </w:rPr>
        <w:t>in Asia.</w:t>
      </w:r>
      <w:r w:rsidR="00084B5C" w:rsidRPr="00B674CF">
        <w:rPr>
          <w:rFonts w:ascii="Times New Roman" w:hAnsi="Times New Roman" w:cs="Times New Roman"/>
          <w:sz w:val="22"/>
          <w:szCs w:val="22"/>
        </w:rPr>
        <w:t xml:space="preserve"> </w:t>
      </w:r>
      <w:r w:rsidR="00084B5C" w:rsidRPr="00B674CF">
        <w:rPr>
          <w:rFonts w:ascii="Times New Roman" w:hAnsi="Times New Roman" w:cs="Times New Roman"/>
          <w:sz w:val="22"/>
          <w:szCs w:val="22"/>
          <w:vertAlign w:val="superscript"/>
        </w:rPr>
        <w:fldChar w:fldCharType="begin"/>
      </w:r>
      <w:r w:rsidR="00CD2508" w:rsidRPr="00B674CF">
        <w:rPr>
          <w:rFonts w:ascii="Times New Roman" w:hAnsi="Times New Roman" w:cs="Times New Roman"/>
          <w:sz w:val="22"/>
          <w:szCs w:val="22"/>
          <w:vertAlign w:val="superscript"/>
        </w:rPr>
        <w:instrText xml:space="preserve"> ADDIN EN.CITE &lt;EndNote&gt;&lt;Cite&gt;&lt;Author&gt;Brady&lt;/Author&gt;&lt;Year&gt;2012&lt;/Year&gt;&lt;RecNum&gt;31&lt;/RecNum&gt;&lt;DisplayText&gt;2&lt;/DisplayText&gt;&lt;record&gt;&lt;rec-number&gt;31&lt;/rec-number&gt;&lt;foreign-keys&gt;&lt;key app="EN" db-id="02z25wdvbps9aiez5zrpdvwaxrsa5et0rw9z" timestamp="1757131323"&gt;31&lt;/key&gt;&lt;/foreign-keys&gt;&lt;ref-type name="Journal Article"&gt;17&lt;/ref-type&gt;&lt;contributors&gt;&lt;authors&gt;&lt;author&gt;Brady, O. J.&lt;/author&gt;&lt;author&gt;Gething, P. W.&lt;/author&gt;&lt;author&gt;Bhatt, S.&lt;/author&gt;&lt;author&gt;Messina, J. P.&lt;/author&gt;&lt;author&gt;Brownstein, J. S.&lt;/author&gt;&lt;author&gt;Hoen, A. G.&lt;/author&gt;&lt;author&gt;Moyes, C. L.&lt;/author&gt;&lt;author&gt;Farlow, A. W.&lt;/author&gt;&lt;author&gt;Scott, T. W.&lt;/author&gt;&lt;author&gt;Hay, S. I.&lt;/author&gt;&lt;/authors&gt;&lt;/contributors&gt;&lt;auth-address&gt;Spatial Ecology and Epidemiology Group, Department of Zoology, University of Oxford, Oxford, United Kingdom. oliver.brady@zoo.ox.ac.uk&lt;/auth-address&gt;&lt;titles&gt;&lt;title&gt;Refining the global spatial limits of dengue virus transmission by evidence-based consensus&lt;/title&gt;&lt;secondary-title&gt;PLoS Negl Trop Dis&lt;/secondary-title&gt;&lt;/titles&gt;&lt;periodical&gt;&lt;full-title&gt;PLoS Negl Trop Dis&lt;/full-title&gt;&lt;/periodical&gt;&lt;pages&gt;e1760&lt;/pages&gt;&lt;volume&gt;6&lt;/volume&gt;&lt;number&gt;8&lt;/number&gt;&lt;edition&gt;2012/08/11&lt;/edition&gt;&lt;keywords&gt;&lt;keyword&gt;Dengue/*epidemiology/*transmission&lt;/keyword&gt;&lt;keyword&gt;Dengue Virus/*isolation &amp;amp; purification/*pathogenicity&lt;/keyword&gt;&lt;keyword&gt;Global Health&lt;/keyword&gt;&lt;keyword&gt;Humans&lt;/keyword&gt;&lt;keyword&gt;*Topography, Medical&lt;/keyword&gt;&lt;/keywords&gt;&lt;dates&gt;&lt;year&gt;2012&lt;/year&gt;&lt;/dates&gt;&lt;isbn&gt;1935-2727 (Print)&amp;#xD;1935-2727&lt;/isbn&gt;&lt;accession-num&gt;22880140&lt;/accession-num&gt;&lt;urls&gt;&lt;/urls&gt;&lt;custom2&gt;PMC3413714&lt;/custom2&gt;&lt;electronic-resource-num&gt;10.1371/journal.pntd.0001760&lt;/electronic-resource-num&gt;&lt;remote-database-provider&gt;NLM&lt;/remote-database-provider&gt;&lt;language&gt;eng&lt;/language&gt;&lt;/record&gt;&lt;/Cite&gt;&lt;/EndNote&gt;</w:instrText>
      </w:r>
      <w:r w:rsidR="00084B5C" w:rsidRPr="00B674CF">
        <w:rPr>
          <w:rFonts w:ascii="Times New Roman" w:hAnsi="Times New Roman" w:cs="Times New Roman"/>
          <w:sz w:val="22"/>
          <w:szCs w:val="22"/>
          <w:vertAlign w:val="superscript"/>
        </w:rPr>
        <w:fldChar w:fldCharType="separate"/>
      </w:r>
      <w:r w:rsidR="00CD2508" w:rsidRPr="00B674CF">
        <w:rPr>
          <w:rFonts w:ascii="Times New Roman" w:hAnsi="Times New Roman" w:cs="Times New Roman"/>
          <w:noProof/>
          <w:sz w:val="22"/>
          <w:szCs w:val="22"/>
          <w:vertAlign w:val="superscript"/>
        </w:rPr>
        <w:t>2</w:t>
      </w:r>
      <w:r w:rsidR="00084B5C" w:rsidRPr="00B674CF">
        <w:rPr>
          <w:rFonts w:ascii="Times New Roman" w:hAnsi="Times New Roman" w:cs="Times New Roman"/>
          <w:sz w:val="22"/>
          <w:szCs w:val="22"/>
          <w:vertAlign w:val="superscript"/>
        </w:rPr>
        <w:fldChar w:fldCharType="end"/>
      </w:r>
      <w:r w:rsidR="00084B5C" w:rsidRPr="00B674CF">
        <w:rPr>
          <w:rFonts w:ascii="Times New Roman" w:hAnsi="Times New Roman" w:cs="Times New Roman"/>
          <w:sz w:val="22"/>
          <w:szCs w:val="22"/>
        </w:rPr>
        <w:t xml:space="preserve"> In Pakistan</w:t>
      </w:r>
      <w:r w:rsidR="00117D65" w:rsidRPr="00B674CF">
        <w:rPr>
          <w:rFonts w:ascii="Times New Roman" w:hAnsi="Times New Roman" w:cs="Times New Roman"/>
          <w:sz w:val="22"/>
          <w:szCs w:val="22"/>
        </w:rPr>
        <w:t>,</w:t>
      </w:r>
      <w:r w:rsidR="00084B5C" w:rsidRPr="00B674CF">
        <w:rPr>
          <w:rFonts w:ascii="Times New Roman" w:hAnsi="Times New Roman" w:cs="Times New Roman"/>
          <w:sz w:val="22"/>
          <w:szCs w:val="22"/>
        </w:rPr>
        <w:t xml:space="preserve"> between 1 January </w:t>
      </w:r>
      <w:r w:rsidR="00A27C19" w:rsidRPr="00B674CF">
        <w:rPr>
          <w:rFonts w:ascii="Times New Roman" w:hAnsi="Times New Roman" w:cs="Times New Roman"/>
          <w:color w:val="171717" w:themeColor="background2" w:themeShade="1A"/>
          <w:sz w:val="22"/>
          <w:szCs w:val="22"/>
        </w:rPr>
        <w:t>and</w:t>
      </w:r>
      <w:r w:rsidR="00084B5C" w:rsidRPr="00B674CF">
        <w:rPr>
          <w:rFonts w:ascii="Times New Roman" w:hAnsi="Times New Roman" w:cs="Times New Roman"/>
          <w:sz w:val="22"/>
          <w:szCs w:val="22"/>
        </w:rPr>
        <w:t xml:space="preserve"> 27 September 2022, the National Institute of Health-Islamabad recorded a total of 25,932 confirmed dengue cases and 62 deaths across the country. As of 22 September, data on the distribution of cases by province were available for 83% (21,777 cases) of the total. Among these, 32% (6,888 cases) were reported in Sindh, 29% (6,255 cases) in Punjab (including Islamabad Capital Territory), 25% (5,506 cases) in Khyber Pakhtunkhwa, and 14% (3,128 cases) in </w:t>
      </w:r>
      <w:proofErr w:type="spellStart"/>
      <w:r w:rsidR="00084B5C" w:rsidRPr="00B674CF">
        <w:rPr>
          <w:rFonts w:ascii="Times New Roman" w:hAnsi="Times New Roman" w:cs="Times New Roman"/>
          <w:sz w:val="22"/>
          <w:szCs w:val="22"/>
        </w:rPr>
        <w:t>Balochistan</w:t>
      </w:r>
      <w:proofErr w:type="spellEnd"/>
      <w:r w:rsidR="00605FB2" w:rsidRPr="00B674CF">
        <w:rPr>
          <w:rFonts w:ascii="Times New Roman" w:hAnsi="Times New Roman" w:cs="Times New Roman"/>
          <w:sz w:val="22"/>
          <w:szCs w:val="22"/>
        </w:rPr>
        <w:t xml:space="preserve">. </w:t>
      </w:r>
      <w:r w:rsidR="00605FB2" w:rsidRPr="00B674CF">
        <w:rPr>
          <w:rFonts w:ascii="Times New Roman" w:hAnsi="Times New Roman" w:cs="Times New Roman"/>
          <w:sz w:val="22"/>
          <w:szCs w:val="22"/>
          <w:vertAlign w:val="superscript"/>
        </w:rPr>
        <w:fldChar w:fldCharType="begin"/>
      </w:r>
      <w:r w:rsidR="00CD2508" w:rsidRPr="00B674CF">
        <w:rPr>
          <w:rFonts w:ascii="Times New Roman" w:hAnsi="Times New Roman" w:cs="Times New Roman"/>
          <w:sz w:val="22"/>
          <w:szCs w:val="22"/>
          <w:vertAlign w:val="superscript"/>
        </w:rPr>
        <w:instrText xml:space="preserve"> ADDIN EN.CITE &lt;EndNote&gt;&lt;Cite&gt;&lt;Author&gt;Organization&lt;/Author&gt;&lt;Year&gt;2022&lt;/Year&gt;&lt;RecNum&gt;26&lt;/RecNum&gt;&lt;DisplayText&gt;3&lt;/DisplayText&gt;&lt;record&gt;&lt;rec-number&gt;26&lt;/rec-number&gt;&lt;foreign-keys&gt;&lt;key app="EN" db-id="02z25wdvbps9aiez5zrpdvwaxrsa5et0rw9z" timestamp="1757130304"&gt;26&lt;/key&gt;&lt;/foreign-keys&gt;&lt;ref-type name="Web Page"&gt;12&lt;/ref-type&gt;&lt;contributors&gt;&lt;authors&gt;&lt;author&gt;World Health Organization&lt;/author&gt;&lt;/authors&gt;&lt;/contributors&gt;&lt;titles&gt;&lt;title&gt;Dengue - Pakistan&lt;/title&gt;&lt;secondary-title&gt;WHO Emergencies — Disease Outbreak News&lt;/secondary-title&gt;&lt;/titles&gt;&lt;volume&gt;2025&lt;/volume&gt;&lt;number&gt;May 25&lt;/number&gt;&lt;dates&gt;&lt;year&gt;2022&lt;/year&gt;&lt;/dates&gt;&lt;work-type&gt;Internet&lt;/work-type&gt;&lt;urls&gt;&lt;related-urls&gt;&lt;url&gt;https://www.who.int/emergencies/disease-outbreak-news/item/2022-DON414&lt;/url&gt;&lt;/related-urls&gt;&lt;/urls&gt;&lt;custom1&gt;2025&lt;/custom1&gt;&lt;custom2&gt;May 25&lt;/custom2&gt;&lt;/record&gt;&lt;/Cite&gt;&lt;/EndNote&gt;</w:instrText>
      </w:r>
      <w:r w:rsidR="00605FB2" w:rsidRPr="00B674CF">
        <w:rPr>
          <w:rFonts w:ascii="Times New Roman" w:hAnsi="Times New Roman" w:cs="Times New Roman"/>
          <w:sz w:val="22"/>
          <w:szCs w:val="22"/>
          <w:vertAlign w:val="superscript"/>
        </w:rPr>
        <w:fldChar w:fldCharType="separate"/>
      </w:r>
      <w:r w:rsidR="00CD2508" w:rsidRPr="00B674CF">
        <w:rPr>
          <w:rFonts w:ascii="Times New Roman" w:hAnsi="Times New Roman" w:cs="Times New Roman"/>
          <w:noProof/>
          <w:sz w:val="22"/>
          <w:szCs w:val="22"/>
          <w:vertAlign w:val="superscript"/>
        </w:rPr>
        <w:t>3</w:t>
      </w:r>
      <w:r w:rsidR="00605FB2" w:rsidRPr="00B674CF">
        <w:rPr>
          <w:rFonts w:ascii="Times New Roman" w:hAnsi="Times New Roman" w:cs="Times New Roman"/>
          <w:sz w:val="22"/>
          <w:szCs w:val="22"/>
          <w:vertAlign w:val="superscript"/>
        </w:rPr>
        <w:fldChar w:fldCharType="end"/>
      </w:r>
    </w:p>
    <w:p w14:paraId="46A09A34" w14:textId="790EF93B" w:rsidR="005A13BF" w:rsidRPr="00B674CF" w:rsidRDefault="005A13BF" w:rsidP="00B674CF">
      <w:pPr>
        <w:spacing w:after="0" w:line="360" w:lineRule="auto"/>
        <w:jc w:val="both"/>
        <w:rPr>
          <w:rFonts w:ascii="Times New Roman" w:hAnsi="Times New Roman" w:cs="Times New Roman"/>
          <w:sz w:val="22"/>
          <w:szCs w:val="22"/>
          <w:vertAlign w:val="superscript"/>
        </w:rPr>
      </w:pPr>
      <w:r w:rsidRPr="00B674CF">
        <w:rPr>
          <w:rFonts w:ascii="Times New Roman" w:hAnsi="Times New Roman" w:cs="Times New Roman"/>
          <w:sz w:val="22"/>
          <w:szCs w:val="22"/>
        </w:rPr>
        <w:t>Myalgia, or muscle pain, is a common early symptom of dengue fever, typically affecting the back and proximal limb muscles, and is experienced by up to 93% of patients.</w:t>
      </w:r>
      <w:r w:rsidR="00BB64F3" w:rsidRPr="00B674CF">
        <w:rPr>
          <w:rFonts w:ascii="Times New Roman" w:hAnsi="Times New Roman" w:cs="Times New Roman"/>
          <w:sz w:val="22"/>
          <w:szCs w:val="22"/>
        </w:rPr>
        <w:t xml:space="preserve"> </w:t>
      </w:r>
      <w:r w:rsidR="00BB64F3" w:rsidRPr="00B674CF">
        <w:rPr>
          <w:rFonts w:ascii="Times New Roman" w:hAnsi="Times New Roman" w:cs="Times New Roman"/>
          <w:sz w:val="22"/>
          <w:szCs w:val="22"/>
          <w:vertAlign w:val="superscript"/>
        </w:rPr>
        <w:fldChar w:fldCharType="begin"/>
      </w:r>
      <w:r w:rsidR="00CD2508" w:rsidRPr="00B674CF">
        <w:rPr>
          <w:rFonts w:ascii="Times New Roman" w:hAnsi="Times New Roman" w:cs="Times New Roman"/>
          <w:sz w:val="22"/>
          <w:szCs w:val="22"/>
          <w:vertAlign w:val="superscript"/>
        </w:rPr>
        <w:instrText xml:space="preserve"> ADDIN EN.CITE &lt;EndNote&gt;&lt;Cite&gt;&lt;Author&gt;Guard&lt;/Author&gt;&lt;Year&gt;1984&lt;/Year&gt;&lt;RecNum&gt;32&lt;/RecNum&gt;&lt;DisplayText&gt;4&lt;/DisplayText&gt;&lt;record&gt;&lt;rec-number&gt;32&lt;/rec-number&gt;&lt;foreign-keys&gt;&lt;key app="EN" db-id="02z25wdvbps9aiez5zrpdvwaxrsa5et0rw9z" timestamp="1757132194"&gt;32&lt;/key&gt;&lt;/foreign-keys&gt;&lt;ref-type name="Journal Article"&gt;17&lt;/ref-type&gt;&lt;contributors&gt;&lt;authors&gt;&lt;author&gt;Guard, R. W.&lt;/author&gt;&lt;author&gt;Stallman, N. D.&lt;/author&gt;&lt;author&gt;Wiemers, M. A.&lt;/author&gt;&lt;/authors&gt;&lt;/contributors&gt;&lt;titles&gt;&lt;title&gt;Dengue in the northern region of Queensland, 1981-1982&lt;/title&gt;&lt;secondary-title&gt;Med J Aust&lt;/secondary-title&gt;&lt;/titles&gt;&lt;periodical&gt;&lt;full-title&gt;Med J Aust&lt;/full-title&gt;&lt;/periodical&gt;&lt;pages&gt;765-9&lt;/pages&gt;&lt;volume&gt;140&lt;/volume&gt;&lt;number&gt;13&lt;/number&gt;&lt;edition&gt;1984/06/23&lt;/edition&gt;&lt;keywords&gt;&lt;keyword&gt;Adolescent&lt;/keyword&gt;&lt;keyword&gt;Adult&lt;/keyword&gt;&lt;keyword&gt;Aedes&lt;/keyword&gt;&lt;keyword&gt;Aged&lt;/keyword&gt;&lt;keyword&gt;Antibodies, Viral/analysis&lt;/keyword&gt;&lt;keyword&gt;Australia&lt;/keyword&gt;&lt;keyword&gt;Child&lt;/keyword&gt;&lt;keyword&gt;Dengue/blood/*epidemiology/immunology/transmission&lt;/keyword&gt;&lt;keyword&gt;Dengue Virus/immunology&lt;/keyword&gt;&lt;keyword&gt;Disease Outbreaks/*epidemiology&lt;/keyword&gt;&lt;keyword&gt;Female&lt;/keyword&gt;&lt;keyword&gt;Fever/etiology&lt;/keyword&gt;&lt;keyword&gt;Headache/etiology&lt;/keyword&gt;&lt;keyword&gt;Humans&lt;/keyword&gt;&lt;keyword&gt;Insect Vectors&lt;/keyword&gt;&lt;keyword&gt;Male&lt;/keyword&gt;&lt;keyword&gt;Middle Aged&lt;/keyword&gt;&lt;keyword&gt;Skin Diseases/etiology&lt;/keyword&gt;&lt;/keywords&gt;&lt;dates&gt;&lt;year&gt;1984&lt;/year&gt;&lt;pub-dates&gt;&lt;date&gt;Jun 23&lt;/date&gt;&lt;/pub-dates&gt;&lt;/dates&gt;&lt;isbn&gt;0025-729X (Print)&amp;#xD;0025-729x&lt;/isbn&gt;&lt;accession-num&gt;6727748&lt;/accession-num&gt;&lt;urls&gt;&lt;/urls&gt;&lt;electronic-resource-num&gt;10.5694/j.1326-5377.1984.tb132593.x&lt;/electronic-resource-num&gt;&lt;remote-database-provider&gt;NLM&lt;/remote-database-provider&gt;&lt;language&gt;eng&lt;/language&gt;&lt;/record&gt;&lt;/Cite&gt;&lt;/EndNote&gt;</w:instrText>
      </w:r>
      <w:r w:rsidR="00BB64F3" w:rsidRPr="00B674CF">
        <w:rPr>
          <w:rFonts w:ascii="Times New Roman" w:hAnsi="Times New Roman" w:cs="Times New Roman"/>
          <w:sz w:val="22"/>
          <w:szCs w:val="22"/>
          <w:vertAlign w:val="superscript"/>
        </w:rPr>
        <w:fldChar w:fldCharType="separate"/>
      </w:r>
      <w:r w:rsidR="00CD2508" w:rsidRPr="00B674CF">
        <w:rPr>
          <w:rFonts w:ascii="Times New Roman" w:hAnsi="Times New Roman" w:cs="Times New Roman"/>
          <w:noProof/>
          <w:sz w:val="22"/>
          <w:szCs w:val="22"/>
          <w:vertAlign w:val="superscript"/>
        </w:rPr>
        <w:t>4</w:t>
      </w:r>
      <w:r w:rsidR="00BB64F3" w:rsidRPr="00B674CF">
        <w:rPr>
          <w:rFonts w:ascii="Times New Roman" w:hAnsi="Times New Roman" w:cs="Times New Roman"/>
          <w:sz w:val="22"/>
          <w:szCs w:val="22"/>
          <w:vertAlign w:val="superscript"/>
        </w:rPr>
        <w:fldChar w:fldCharType="end"/>
      </w:r>
      <w:r w:rsidRPr="00B674CF">
        <w:rPr>
          <w:rFonts w:ascii="Times New Roman" w:hAnsi="Times New Roman" w:cs="Times New Roman"/>
          <w:sz w:val="22"/>
          <w:szCs w:val="22"/>
        </w:rPr>
        <w:t xml:space="preserve"> A large study in Peru, Bolivia, Ecuador, and Paraguay found that 90.1% of 1716 confirmed dengue cases had myalgia.</w:t>
      </w:r>
      <w:r w:rsidR="00BB64F3" w:rsidRPr="00B674CF">
        <w:rPr>
          <w:rFonts w:ascii="Times New Roman" w:hAnsi="Times New Roman" w:cs="Times New Roman"/>
          <w:sz w:val="22"/>
          <w:szCs w:val="22"/>
        </w:rPr>
        <w:t xml:space="preserve"> </w:t>
      </w:r>
      <w:r w:rsidR="00BB64F3" w:rsidRPr="00B674CF">
        <w:rPr>
          <w:rFonts w:ascii="Times New Roman" w:hAnsi="Times New Roman" w:cs="Times New Roman"/>
          <w:sz w:val="22"/>
          <w:szCs w:val="22"/>
          <w:vertAlign w:val="superscript"/>
        </w:rPr>
        <w:fldChar w:fldCharType="begin"/>
      </w:r>
      <w:r w:rsidR="00CD2508" w:rsidRPr="00B674CF">
        <w:rPr>
          <w:rFonts w:ascii="Times New Roman" w:hAnsi="Times New Roman" w:cs="Times New Roman"/>
          <w:sz w:val="22"/>
          <w:szCs w:val="22"/>
          <w:vertAlign w:val="superscript"/>
        </w:rPr>
        <w:instrText xml:space="preserve"> ADDIN EN.CITE &lt;EndNote&gt;&lt;Cite&gt;&lt;Author&gt;Halsey&lt;/Author&gt;&lt;Year&gt;2012&lt;/Year&gt;&lt;RecNum&gt;33&lt;/RecNum&gt;&lt;DisplayText&gt;5&lt;/DisplayText&gt;&lt;record&gt;&lt;rec-number&gt;33&lt;/rec-number&gt;&lt;foreign-keys&gt;&lt;key app="EN" db-id="02z25wdvbps9aiez5zrpdvwaxrsa5et0rw9z" timestamp="1757132252"&gt;33&lt;/key&gt;&lt;/foreign-keys&gt;&lt;ref-type name="Journal Article"&gt;17&lt;/ref-type&gt;&lt;contributors&gt;&lt;authors&gt;&lt;author&gt;Halsey, E. S.&lt;/author&gt;&lt;author&gt;Marks, M. A.&lt;/author&gt;&lt;author&gt;Gotuzzo, E.&lt;/author&gt;&lt;author&gt;Fiestas, V.&lt;/author&gt;&lt;author&gt;Suarez, L.&lt;/author&gt;&lt;author&gt;Vargas, J.&lt;/author&gt;&lt;author&gt;Aguayo, N.&lt;/author&gt;&lt;author&gt;Madrid, C.&lt;/author&gt;&lt;author&gt;Vimos, C.&lt;/author&gt;&lt;author&gt;Kochel, T. J.&lt;/author&gt;&lt;author&gt;Laguna-Torres, V. A.&lt;/author&gt;&lt;/authors&gt;&lt;/contributors&gt;&lt;auth-address&gt;United States Naval Medical Research Unit Six, Lima, Perú. eric.halsey@med.navy.mil&lt;/auth-address&gt;&lt;titles&gt;&lt;title&gt;Correlation of serotype-specific dengue virus infection with clinical manifestations&lt;/title&gt;&lt;secondary-title&gt;PLoS Negl Trop Dis&lt;/secondary-title&gt;&lt;/titles&gt;&lt;periodical&gt;&lt;full-title&gt;PLoS Negl Trop Dis&lt;/full-title&gt;&lt;/periodical&gt;&lt;pages&gt;e1638&lt;/pages&gt;&lt;volume&gt;6&lt;/volume&gt;&lt;number&gt;5&lt;/number&gt;&lt;edition&gt;2012/05/09&lt;/edition&gt;&lt;keywords&gt;&lt;keyword&gt;Adolescent&lt;/keyword&gt;&lt;keyword&gt;Adult&lt;/keyword&gt;&lt;keyword&gt;Aged&lt;/keyword&gt;&lt;keyword&gt;Aged, 80 and over&lt;/keyword&gt;&lt;keyword&gt;Child&lt;/keyword&gt;&lt;keyword&gt;Child, Preschool&lt;/keyword&gt;&lt;keyword&gt;Dengue/*pathology/*virology&lt;/keyword&gt;&lt;keyword&gt;Dengue Virus/*classification/isolation &amp;amp; purification/*pathogenicity&lt;/keyword&gt;&lt;keyword&gt;Female&lt;/keyword&gt;&lt;keyword&gt;Humans&lt;/keyword&gt;&lt;keyword&gt;Male&lt;/keyword&gt;&lt;keyword&gt;Middle Aged&lt;/keyword&gt;&lt;keyword&gt;Serotyping&lt;/keyword&gt;&lt;keyword&gt;South America/epidemiology&lt;/keyword&gt;&lt;keyword&gt;Young Adult&lt;/keyword&gt;&lt;/keywords&gt;&lt;dates&gt;&lt;year&gt;2012&lt;/year&gt;&lt;/dates&gt;&lt;isbn&gt;1935-2727 (Print)&amp;#xD;1935-2727&lt;/isbn&gt;&lt;accession-num&gt;22563516&lt;/accession-num&gt;&lt;urls&gt;&lt;/urls&gt;&lt;custom2&gt;PMC3341333&lt;/custom2&gt;&lt;electronic-resource-num&gt;10.1371/journal.pntd.0001638&lt;/electronic-resource-num&gt;&lt;remote-database-provider&gt;NLM&lt;/remote-database-provider&gt;&lt;language&gt;eng&lt;/language&gt;&lt;/record&gt;&lt;/Cite&gt;&lt;/EndNote&gt;</w:instrText>
      </w:r>
      <w:r w:rsidR="00BB64F3" w:rsidRPr="00B674CF">
        <w:rPr>
          <w:rFonts w:ascii="Times New Roman" w:hAnsi="Times New Roman" w:cs="Times New Roman"/>
          <w:sz w:val="22"/>
          <w:szCs w:val="22"/>
          <w:vertAlign w:val="superscript"/>
        </w:rPr>
        <w:fldChar w:fldCharType="separate"/>
      </w:r>
      <w:r w:rsidR="00CD2508" w:rsidRPr="00B674CF">
        <w:rPr>
          <w:rFonts w:ascii="Times New Roman" w:hAnsi="Times New Roman" w:cs="Times New Roman"/>
          <w:noProof/>
          <w:sz w:val="22"/>
          <w:szCs w:val="22"/>
          <w:vertAlign w:val="superscript"/>
        </w:rPr>
        <w:t>5</w:t>
      </w:r>
      <w:r w:rsidR="00BB64F3" w:rsidRPr="00B674CF">
        <w:rPr>
          <w:rFonts w:ascii="Times New Roman" w:hAnsi="Times New Roman" w:cs="Times New Roman"/>
          <w:sz w:val="22"/>
          <w:szCs w:val="22"/>
          <w:vertAlign w:val="superscript"/>
        </w:rPr>
        <w:fldChar w:fldCharType="end"/>
      </w:r>
      <w:r w:rsidRPr="00B674CF">
        <w:rPr>
          <w:rFonts w:ascii="Times New Roman" w:hAnsi="Times New Roman" w:cs="Times New Roman"/>
          <w:sz w:val="22"/>
          <w:szCs w:val="22"/>
        </w:rPr>
        <w:t xml:space="preserve"> Among 334 laboratory-positive US residents who travelled to endemic areas, only 30% reported myalgia.</w:t>
      </w:r>
      <w:r w:rsidR="00BB64F3" w:rsidRPr="00B674CF">
        <w:rPr>
          <w:rFonts w:ascii="Times New Roman" w:hAnsi="Times New Roman" w:cs="Times New Roman"/>
          <w:sz w:val="22"/>
          <w:szCs w:val="22"/>
        </w:rPr>
        <w:t xml:space="preserve"> </w:t>
      </w:r>
      <w:r w:rsidR="00BB64F3" w:rsidRPr="00B674CF">
        <w:rPr>
          <w:rFonts w:ascii="Times New Roman" w:hAnsi="Times New Roman" w:cs="Times New Roman"/>
          <w:sz w:val="22"/>
          <w:szCs w:val="22"/>
          <w:vertAlign w:val="superscript"/>
        </w:rPr>
        <w:fldChar w:fldCharType="begin">
          <w:fldData xml:space="preserve">PEVuZE5vdGU+PENpdGU+PEF1dGhvcj5Nb2hhbW1lZDwvQXV0aG9yPjxZZWFyPjIwMTA8L1llYXI+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=
</w:fldData>
        </w:fldChar>
      </w:r>
      <w:r w:rsidR="00CD2508" w:rsidRPr="00B674CF">
        <w:rPr>
          <w:rFonts w:ascii="Times New Roman" w:hAnsi="Times New Roman" w:cs="Times New Roman"/>
          <w:sz w:val="22"/>
          <w:szCs w:val="22"/>
          <w:vertAlign w:val="superscript"/>
        </w:rPr>
        <w:instrText xml:space="preserve"> ADDIN EN.CITE </w:instrText>
      </w:r>
      <w:r w:rsidR="00CD2508" w:rsidRPr="00B674CF">
        <w:rPr>
          <w:rFonts w:ascii="Times New Roman" w:hAnsi="Times New Roman" w:cs="Times New Roman"/>
          <w:sz w:val="22"/>
          <w:szCs w:val="22"/>
          <w:vertAlign w:val="superscript"/>
        </w:rPr>
        <w:fldChar w:fldCharType="begin">
          <w:fldData xml:space="preserve">PEVuZE5vdGU+PENpdGU+PEF1dGhvcj5Nb2hhbW1lZDwvQXV0aG9yPjxZZWFyPjIwMTA8L1llYXI+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=
</w:fldData>
        </w:fldChar>
      </w:r>
      <w:r w:rsidR="00CD2508" w:rsidRPr="00B674CF">
        <w:rPr>
          <w:rFonts w:ascii="Times New Roman" w:hAnsi="Times New Roman" w:cs="Times New Roman"/>
          <w:sz w:val="22"/>
          <w:szCs w:val="22"/>
          <w:vertAlign w:val="superscript"/>
        </w:rPr>
        <w:instrText xml:space="preserve"> ADDIN EN.CITE.DATA </w:instrText>
      </w:r>
      <w:r w:rsidR="00CD2508" w:rsidRPr="00B674CF">
        <w:rPr>
          <w:rFonts w:ascii="Times New Roman" w:hAnsi="Times New Roman" w:cs="Times New Roman"/>
          <w:sz w:val="22"/>
          <w:szCs w:val="22"/>
          <w:vertAlign w:val="superscript"/>
        </w:rPr>
      </w:r>
      <w:r w:rsidR="00CD2508" w:rsidRPr="00B674CF">
        <w:rPr>
          <w:rFonts w:ascii="Times New Roman" w:hAnsi="Times New Roman" w:cs="Times New Roman"/>
          <w:sz w:val="22"/>
          <w:szCs w:val="22"/>
          <w:vertAlign w:val="superscript"/>
        </w:rPr>
        <w:fldChar w:fldCharType="end"/>
      </w:r>
      <w:r w:rsidR="00BB64F3" w:rsidRPr="00B674CF">
        <w:rPr>
          <w:rFonts w:ascii="Times New Roman" w:hAnsi="Times New Roman" w:cs="Times New Roman"/>
          <w:sz w:val="22"/>
          <w:szCs w:val="22"/>
          <w:vertAlign w:val="superscript"/>
        </w:rPr>
      </w:r>
      <w:r w:rsidR="00BB64F3" w:rsidRPr="00B674CF">
        <w:rPr>
          <w:rFonts w:ascii="Times New Roman" w:hAnsi="Times New Roman" w:cs="Times New Roman"/>
          <w:sz w:val="22"/>
          <w:szCs w:val="22"/>
          <w:vertAlign w:val="superscript"/>
        </w:rPr>
        <w:fldChar w:fldCharType="separate"/>
      </w:r>
      <w:r w:rsidR="00CD2508" w:rsidRPr="00B674CF">
        <w:rPr>
          <w:rFonts w:ascii="Times New Roman" w:hAnsi="Times New Roman" w:cs="Times New Roman"/>
          <w:noProof/>
          <w:sz w:val="22"/>
          <w:szCs w:val="22"/>
          <w:vertAlign w:val="superscript"/>
        </w:rPr>
        <w:t>6</w:t>
      </w:r>
      <w:r w:rsidR="00BB64F3" w:rsidRPr="00B674CF">
        <w:rPr>
          <w:rFonts w:ascii="Times New Roman" w:hAnsi="Times New Roman" w:cs="Times New Roman"/>
          <w:sz w:val="22"/>
          <w:szCs w:val="22"/>
          <w:vertAlign w:val="superscript"/>
        </w:rPr>
        <w:fldChar w:fldCharType="end"/>
      </w:r>
    </w:p>
    <w:p w14:paraId="1A48A485" w14:textId="1ED4152D" w:rsidR="005A13BF" w:rsidRPr="00B674CF" w:rsidRDefault="005A13BF" w:rsidP="00B674CF">
      <w:pPr>
        <w:spacing w:after="0" w:line="360" w:lineRule="auto"/>
        <w:jc w:val="both"/>
        <w:rPr>
          <w:rFonts w:ascii="Times New Roman" w:hAnsi="Times New Roman" w:cs="Times New Roman"/>
          <w:sz w:val="22"/>
          <w:szCs w:val="22"/>
        </w:rPr>
      </w:pPr>
      <w:r w:rsidRPr="00B674CF">
        <w:rPr>
          <w:rFonts w:ascii="Times New Roman" w:hAnsi="Times New Roman" w:cs="Times New Roman"/>
          <w:sz w:val="22"/>
          <w:szCs w:val="22"/>
        </w:rPr>
        <w:t>Myositis refers to the inflammation of skeletal muscles and is clinically characterized by motor weakness in all four limbs. Though limited studies are available that address the prevalence of myositis in dengue patient</w:t>
      </w:r>
      <w:r w:rsidR="00A27C19" w:rsidRPr="00B674CF">
        <w:rPr>
          <w:rFonts w:ascii="Times New Roman" w:hAnsi="Times New Roman" w:cs="Times New Roman"/>
          <w:sz w:val="22"/>
          <w:szCs w:val="22"/>
        </w:rPr>
        <w:t>s,</w:t>
      </w:r>
      <w:r w:rsidRPr="00B674CF">
        <w:rPr>
          <w:rFonts w:ascii="Times New Roman" w:hAnsi="Times New Roman" w:cs="Times New Roman"/>
          <w:sz w:val="22"/>
          <w:szCs w:val="22"/>
        </w:rPr>
        <w:t xml:space="preserve"> one study puts </w:t>
      </w:r>
      <w:proofErr w:type="gramStart"/>
      <w:r w:rsidRPr="00B674CF">
        <w:rPr>
          <w:rFonts w:ascii="Times New Roman" w:hAnsi="Times New Roman" w:cs="Times New Roman"/>
          <w:sz w:val="22"/>
          <w:szCs w:val="22"/>
        </w:rPr>
        <w:t>this value</w:t>
      </w:r>
      <w:proofErr w:type="gramEnd"/>
      <w:r w:rsidRPr="00B674CF">
        <w:rPr>
          <w:rFonts w:ascii="Times New Roman" w:hAnsi="Times New Roman" w:cs="Times New Roman"/>
          <w:sz w:val="22"/>
          <w:szCs w:val="22"/>
        </w:rPr>
        <w:t xml:space="preserve"> at 4%. Dengue-associated myositis can vary in severity, from mild muscle weakness to severe cases leading to quadriplegia and respiratory failure, with some cases resulting in death. Concomitant myocarditis has also been reported. </w:t>
      </w:r>
      <w:r w:rsidR="00BB64F3" w:rsidRPr="00B674CF">
        <w:rPr>
          <w:rFonts w:ascii="Times New Roman" w:hAnsi="Times New Roman" w:cs="Times New Roman"/>
          <w:sz w:val="22"/>
          <w:szCs w:val="22"/>
          <w:vertAlign w:val="superscript"/>
        </w:rPr>
        <w:fldChar w:fldCharType="begin"/>
      </w:r>
      <w:r w:rsidR="00CD2508" w:rsidRPr="00B674CF">
        <w:rPr>
          <w:rFonts w:ascii="Times New Roman" w:hAnsi="Times New Roman" w:cs="Times New Roman"/>
          <w:sz w:val="22"/>
          <w:szCs w:val="22"/>
          <w:vertAlign w:val="superscript"/>
        </w:rPr>
        <w:instrText xml:space="preserve"> ADDIN EN.CITE &lt;EndNote&gt;&lt;Cite&gt;&lt;Author&gt;Dalugama&lt;/Author&gt;&lt;Year&gt;2017&lt;/Year&gt;&lt;RecNum&gt;23&lt;/RecNum&gt;&lt;DisplayText&gt;7, 8&lt;/DisplayText&gt;&lt;record&gt;&lt;rec-number&gt;23&lt;/rec-number&gt;&lt;foreign-keys&gt;&lt;key app="EN" db-id="02z25wdvbps9aiez5zrpdvwaxrsa5et0rw9z" timestamp="1757130034"&gt;23&lt;/key&gt;&lt;/foreign-keys&gt;&lt;ref-type name="Journal Article"&gt;17&lt;/ref-type&gt;&lt;contributors&gt;&lt;authors&gt;&lt;author&gt;Dalugama, Chamara&lt;/author&gt;&lt;author&gt;Ralapanawa, Udaya&lt;/author&gt;&lt;author&gt;Jayalath, Thilak&lt;/author&gt;&lt;/authors&gt;&lt;/contributors&gt;&lt;titles&gt;&lt;title&gt;Dengue Myositis and Review of Literature&lt;/title&gt;&lt;/titles&gt;&lt;pages&gt;16-18&lt;/pages&gt;&lt;volume&gt;2&lt;/volume&gt;&lt;dates&gt;&lt;year&gt;2017&lt;/year&gt;&lt;pub-dates&gt;&lt;date&gt;01/01&lt;/date&gt;&lt;/pub-dates&gt;&lt;/dates&gt;&lt;urls&gt;&lt;/urls&gt;&lt;/record&gt;&lt;/Cite&gt;&lt;Cite&gt;&lt;Author&gt;Sadiqa&lt;/Author&gt;&lt;Year&gt;2023&lt;/Year&gt;&lt;RecNum&gt;18&lt;/RecNum&gt;&lt;record&gt;&lt;rec-number&gt;18&lt;/rec-number&gt;&lt;foreign-keys&gt;&lt;key app="EN" db-id="02z25wdvbps9aiez5zrpdvwaxrsa5et0rw9z" timestamp="1757129957"&gt;18&lt;/key&gt;&lt;/foreign-keys&gt;&lt;ref-type name="Journal Article"&gt;17&lt;/ref-type&gt;&lt;contributors&gt;&lt;authors&gt;&lt;author&gt;Sadiqa, Amina&lt;/author&gt;&lt;author&gt;Hayyan, Usama&lt;/author&gt;&lt;author&gt;Waqar, Zaid&lt;/author&gt;&lt;author&gt;Pasha, Taha&lt;/author&gt;&lt;/authors&gt;&lt;/contributors&gt;&lt;titles&gt;&lt;title&gt;Myositis as a complication of dengue viral infection&lt;/title&gt;&lt;secondary-title&gt;Pakistan Journal of Neurological Sciences&lt;/secondary-title&gt;&lt;/titles&gt;&lt;periodical&gt;&lt;full-title&gt;Pakistan Journal of Neurological Sciences&lt;/full-title&gt;&lt;/periodical&gt;&lt;volume&gt;18&lt;/volume&gt;&lt;number&gt;01&lt;/number&gt;&lt;dates&gt;&lt;year&gt;2023&lt;/year&gt;&lt;/dates&gt;&lt;isbn&gt;1990-813X&lt;/isbn&gt;&lt;urls&gt;&lt;/urls&gt;&lt;/record&gt;&lt;/Cite&gt;&lt;/EndNote&gt;</w:instrText>
      </w:r>
      <w:r w:rsidR="00BB64F3" w:rsidRPr="00B674CF">
        <w:rPr>
          <w:rFonts w:ascii="Times New Roman" w:hAnsi="Times New Roman" w:cs="Times New Roman"/>
          <w:sz w:val="22"/>
          <w:szCs w:val="22"/>
          <w:vertAlign w:val="superscript"/>
        </w:rPr>
        <w:fldChar w:fldCharType="separate"/>
      </w:r>
      <w:r w:rsidR="00CD2508" w:rsidRPr="00B674CF">
        <w:rPr>
          <w:rFonts w:ascii="Times New Roman" w:hAnsi="Times New Roman" w:cs="Times New Roman"/>
          <w:noProof/>
          <w:sz w:val="22"/>
          <w:szCs w:val="22"/>
          <w:vertAlign w:val="superscript"/>
        </w:rPr>
        <w:t>7, 8</w:t>
      </w:r>
      <w:r w:rsidR="00BB64F3" w:rsidRPr="00B674CF">
        <w:rPr>
          <w:rFonts w:ascii="Times New Roman" w:hAnsi="Times New Roman" w:cs="Times New Roman"/>
          <w:sz w:val="22"/>
          <w:szCs w:val="22"/>
          <w:vertAlign w:val="superscript"/>
        </w:rPr>
        <w:fldChar w:fldCharType="end"/>
      </w:r>
    </w:p>
    <w:p w14:paraId="6FDC3DCF" w14:textId="4D929CBC" w:rsidR="005A13BF" w:rsidRPr="00B674CF" w:rsidRDefault="005A13BF" w:rsidP="00B674CF">
      <w:pPr>
        <w:spacing w:after="0" w:line="360" w:lineRule="auto"/>
        <w:jc w:val="both"/>
        <w:rPr>
          <w:rFonts w:ascii="Times New Roman" w:hAnsi="Times New Roman" w:cs="Times New Roman"/>
          <w:sz w:val="22"/>
          <w:szCs w:val="22"/>
          <w:vertAlign w:val="superscript"/>
        </w:rPr>
      </w:pPr>
      <w:r w:rsidRPr="00B674CF">
        <w:rPr>
          <w:rFonts w:ascii="Times New Roman" w:hAnsi="Times New Roman" w:cs="Times New Roman"/>
          <w:sz w:val="22"/>
          <w:szCs w:val="22"/>
        </w:rPr>
        <w:t xml:space="preserve">Rhabdomyolysis, a condition where skeletal muscle breaks down, releasing creatine phosphokinase (CPK) into the bloodstream, has been observed in some dengue patients, although it is rare. Despite the global impact of dengue, few clinical studies and case reports address rhabdomyolysis in dengue infections. CPK levels are not routinely tested unless there is </w:t>
      </w:r>
      <w:r w:rsidR="00117D65" w:rsidRPr="00B674CF">
        <w:rPr>
          <w:rFonts w:ascii="Times New Roman" w:hAnsi="Times New Roman" w:cs="Times New Roman"/>
          <w:color w:val="171717" w:themeColor="background2" w:themeShade="1A"/>
          <w:sz w:val="22"/>
          <w:szCs w:val="22"/>
        </w:rPr>
        <w:t>a</w:t>
      </w:r>
      <w:r w:rsidR="00117D65" w:rsidRPr="00B674CF">
        <w:rPr>
          <w:rFonts w:ascii="Times New Roman" w:hAnsi="Times New Roman" w:cs="Times New Roman"/>
          <w:sz w:val="22"/>
          <w:szCs w:val="22"/>
        </w:rPr>
        <w:t xml:space="preserve"> </w:t>
      </w:r>
      <w:r w:rsidRPr="00B674CF">
        <w:rPr>
          <w:rFonts w:ascii="Times New Roman" w:hAnsi="Times New Roman" w:cs="Times New Roman"/>
          <w:sz w:val="22"/>
          <w:szCs w:val="22"/>
        </w:rPr>
        <w:t>strong clinical suspicion. Studies have shown that rhabdomyolysis is associated with acute kidney injury (AKI) in 15.6% to 35.8% of cases, and it is an independent risk factor for AKI</w:t>
      </w:r>
      <w:r w:rsidR="00BB64F3" w:rsidRPr="00B674CF">
        <w:rPr>
          <w:rFonts w:ascii="Times New Roman" w:hAnsi="Times New Roman" w:cs="Times New Roman"/>
          <w:sz w:val="22"/>
          <w:szCs w:val="22"/>
        </w:rPr>
        <w:t xml:space="preserve">. </w:t>
      </w:r>
      <w:r w:rsidR="00BB64F3" w:rsidRPr="00B674CF">
        <w:rPr>
          <w:rFonts w:ascii="Times New Roman" w:hAnsi="Times New Roman" w:cs="Times New Roman"/>
          <w:sz w:val="22"/>
          <w:szCs w:val="22"/>
          <w:vertAlign w:val="superscript"/>
        </w:rPr>
        <w:fldChar w:fldCharType="begin"/>
      </w:r>
      <w:r w:rsidR="00CD2508" w:rsidRPr="00B674CF">
        <w:rPr>
          <w:rFonts w:ascii="Times New Roman" w:hAnsi="Times New Roman" w:cs="Times New Roman"/>
          <w:sz w:val="22"/>
          <w:szCs w:val="22"/>
          <w:vertAlign w:val="superscript"/>
        </w:rPr>
        <w:instrText xml:space="preserve"> ADDIN EN.CITE &lt;EndNote&gt;&lt;Cite&gt;&lt;Author&gt;Putri&lt;/Author&gt;&lt;Year&gt;2024&lt;/Year&gt;&lt;RecNum&gt;22&lt;/RecNum&gt;&lt;DisplayText&gt;9&lt;/DisplayText&gt;&lt;record&gt;&lt;rec-number&gt;22&lt;/rec-number&gt;&lt;foreign-keys&gt;&lt;key app="EN" db-id="02z25wdvbps9aiez5zrpdvwaxrsa5et0rw9z" timestamp="1757130017"&gt;22&lt;/key&gt;&lt;/foreign-keys&gt;&lt;ref-type name="Journal Article"&gt;17&lt;/ref-type&gt;&lt;contributors&gt;&lt;authors&gt;&lt;author&gt;Putri, A.&lt;/author&gt;&lt;author&gt;Arunsodsai, W.&lt;/author&gt;&lt;author&gt;Hattasingh, W.&lt;/author&gt;&lt;author&gt;Sirinam, S.&lt;/author&gt;&lt;/authors&gt;&lt;/contributors&gt;&lt;auth-address&gt;Thai Travel Clinic, Hospital for Tropical Diseases, Faculty of Tropical Medicine, Mahidol University, Bangkok 10400, Thailand.&amp;#xD;Department of Clinical Tropical Medicine, Faculty of Tropical Medicine, Mahidol University, Bangkok 10400, Thailand.&amp;#xD;Department of Tropical Pediatrics, Faculty of Tropical Medicine, Mahidol University, Bangkok 10400, Thailand.&lt;/auth-address&gt;&lt;titles&gt;&lt;title&gt;DENV-1 infection with rhabdomyolysis in an adolescent: A case report and review of challenge in early diagnosis and treatment&lt;/title&gt;&lt;secondary-title&gt;Heliyon&lt;/secondary-title&gt;&lt;/titles&gt;&lt;periodical&gt;&lt;full-title&gt;Heliyon&lt;/full-title&gt;&lt;/periodical&gt;&lt;pages&gt;e36379&lt;/pages&gt;&lt;volume&gt;10&lt;/volume&gt;&lt;number&gt;17&lt;/number&gt;&lt;edition&gt;2024/09/12&lt;/edition&gt;&lt;keywords&gt;&lt;keyword&gt;Case report&lt;/keyword&gt;&lt;keyword&gt;Dengue&lt;/keyword&gt;&lt;keyword&gt;Dengue-induced muscular complication&lt;/keyword&gt;&lt;keyword&gt;Rhabdomyolysis&lt;/keyword&gt;&lt;keyword&gt;Tropical disease&lt;/keyword&gt;&lt;keyword&gt;personal relationships that could have appeared to influence the work reported in&lt;/keyword&gt;&lt;keyword&gt;this paper.&lt;/keyword&gt;&lt;/keywords&gt;&lt;dates&gt;&lt;year&gt;2024&lt;/year&gt;&lt;pub-dates&gt;&lt;date&gt;Sep 15&lt;/date&gt;&lt;/pub-dates&gt;&lt;/dates&gt;&lt;isbn&gt;2405-8440 (Print)&amp;#xD;2405-8440&lt;/isbn&gt;&lt;accession-num&gt;39263171&lt;/accession-num&gt;&lt;urls&gt;&lt;/urls&gt;&lt;custom2&gt;PMC11387269&lt;/custom2&gt;&lt;electronic-resource-num&gt;10.1016/j.heliyon.2024.e36379&lt;/electronic-resource-num&gt;&lt;remote-database-provider&gt;NLM&lt;/remote-database-provider&gt;&lt;language&gt;eng&lt;/language&gt;&lt;/record&gt;&lt;/Cite&gt;&lt;/EndNote&gt;</w:instrText>
      </w:r>
      <w:r w:rsidR="00BB64F3" w:rsidRPr="00B674CF">
        <w:rPr>
          <w:rFonts w:ascii="Times New Roman" w:hAnsi="Times New Roman" w:cs="Times New Roman"/>
          <w:sz w:val="22"/>
          <w:szCs w:val="22"/>
          <w:vertAlign w:val="superscript"/>
        </w:rPr>
        <w:fldChar w:fldCharType="separate"/>
      </w:r>
      <w:r w:rsidR="00CD2508" w:rsidRPr="00B674CF">
        <w:rPr>
          <w:rFonts w:ascii="Times New Roman" w:hAnsi="Times New Roman" w:cs="Times New Roman"/>
          <w:noProof/>
          <w:sz w:val="22"/>
          <w:szCs w:val="22"/>
          <w:vertAlign w:val="superscript"/>
        </w:rPr>
        <w:t>9</w:t>
      </w:r>
      <w:r w:rsidR="00BB64F3" w:rsidRPr="00B674CF">
        <w:rPr>
          <w:rFonts w:ascii="Times New Roman" w:hAnsi="Times New Roman" w:cs="Times New Roman"/>
          <w:sz w:val="22"/>
          <w:szCs w:val="22"/>
          <w:vertAlign w:val="superscript"/>
        </w:rPr>
        <w:fldChar w:fldCharType="end"/>
      </w:r>
    </w:p>
    <w:p w14:paraId="6F3C1094" w14:textId="6929C6FD" w:rsidR="005A13BF" w:rsidRPr="00B674CF" w:rsidRDefault="005A13BF" w:rsidP="00B674CF">
      <w:pPr>
        <w:spacing w:after="0" w:line="360" w:lineRule="auto"/>
        <w:jc w:val="both"/>
        <w:rPr>
          <w:rFonts w:ascii="Times New Roman" w:hAnsi="Times New Roman" w:cs="Times New Roman"/>
          <w:sz w:val="22"/>
          <w:szCs w:val="22"/>
          <w:vertAlign w:val="superscript"/>
        </w:rPr>
      </w:pPr>
      <w:r w:rsidRPr="00B674CF">
        <w:rPr>
          <w:rFonts w:ascii="Times New Roman" w:hAnsi="Times New Roman" w:cs="Times New Roman"/>
          <w:sz w:val="22"/>
          <w:szCs w:val="22"/>
        </w:rPr>
        <w:t>In patients with dengue, myositis and rhabdomyolysis may be present concurrently</w:t>
      </w:r>
      <w:r w:rsidR="00117D65" w:rsidRPr="00B674CF">
        <w:rPr>
          <w:rFonts w:ascii="Times New Roman" w:hAnsi="Times New Roman" w:cs="Times New Roman"/>
          <w:color w:val="171717" w:themeColor="background2" w:themeShade="1A"/>
          <w:sz w:val="22"/>
          <w:szCs w:val="22"/>
        </w:rPr>
        <w:t>.</w:t>
      </w:r>
      <w:r w:rsidRPr="00B674CF">
        <w:rPr>
          <w:rFonts w:ascii="Times New Roman" w:hAnsi="Times New Roman" w:cs="Times New Roman"/>
          <w:color w:val="171717" w:themeColor="background2" w:themeShade="1A"/>
          <w:sz w:val="22"/>
          <w:szCs w:val="22"/>
        </w:rPr>
        <w:t xml:space="preserve"> </w:t>
      </w:r>
      <w:r w:rsidR="000E06F1" w:rsidRPr="00B674CF">
        <w:rPr>
          <w:rFonts w:ascii="Times New Roman" w:hAnsi="Times New Roman" w:cs="Times New Roman"/>
          <w:sz w:val="22"/>
          <w:szCs w:val="22"/>
        </w:rPr>
        <w:t>In</w:t>
      </w:r>
      <w:r w:rsidRPr="00B674CF">
        <w:rPr>
          <w:rFonts w:ascii="Times New Roman" w:hAnsi="Times New Roman" w:cs="Times New Roman"/>
          <w:sz w:val="22"/>
          <w:szCs w:val="22"/>
        </w:rPr>
        <w:t xml:space="preserve"> a case report, a </w:t>
      </w:r>
      <w:r w:rsidR="000E06F1" w:rsidRPr="00B674CF">
        <w:rPr>
          <w:rFonts w:ascii="Times New Roman" w:hAnsi="Times New Roman" w:cs="Times New Roman"/>
          <w:sz w:val="22"/>
          <w:szCs w:val="22"/>
        </w:rPr>
        <w:t>21-year-old</w:t>
      </w:r>
      <w:r w:rsidRPr="00B674CF">
        <w:rPr>
          <w:rFonts w:ascii="Times New Roman" w:hAnsi="Times New Roman" w:cs="Times New Roman"/>
          <w:sz w:val="22"/>
          <w:szCs w:val="22"/>
        </w:rPr>
        <w:t xml:space="preserve"> patient </w:t>
      </w:r>
      <w:proofErr w:type="gramStart"/>
      <w:r w:rsidRPr="00B674CF">
        <w:rPr>
          <w:rFonts w:ascii="Times New Roman" w:hAnsi="Times New Roman" w:cs="Times New Roman"/>
          <w:sz w:val="22"/>
          <w:szCs w:val="22"/>
        </w:rPr>
        <w:t>presented with</w:t>
      </w:r>
      <w:proofErr w:type="gramEnd"/>
      <w:r w:rsidRPr="00B674CF">
        <w:rPr>
          <w:rFonts w:ascii="Times New Roman" w:hAnsi="Times New Roman" w:cs="Times New Roman"/>
          <w:sz w:val="22"/>
          <w:szCs w:val="22"/>
        </w:rPr>
        <w:t xml:space="preserve"> severe myalgia, bilateral upper and lower limb weakness</w:t>
      </w:r>
      <w:r w:rsidR="00117D65" w:rsidRPr="00B674CF">
        <w:rPr>
          <w:rFonts w:ascii="Times New Roman" w:hAnsi="Times New Roman" w:cs="Times New Roman"/>
          <w:sz w:val="22"/>
          <w:szCs w:val="22"/>
        </w:rPr>
        <w:t>,</w:t>
      </w:r>
      <w:r w:rsidRPr="00B674CF">
        <w:rPr>
          <w:rFonts w:ascii="Times New Roman" w:hAnsi="Times New Roman" w:cs="Times New Roman"/>
          <w:sz w:val="22"/>
          <w:szCs w:val="22"/>
        </w:rPr>
        <w:t xml:space="preserve"> and </w:t>
      </w:r>
      <w:proofErr w:type="gramStart"/>
      <w:r w:rsidRPr="00B674CF">
        <w:rPr>
          <w:rFonts w:ascii="Times New Roman" w:hAnsi="Times New Roman" w:cs="Times New Roman"/>
          <w:sz w:val="22"/>
          <w:szCs w:val="22"/>
        </w:rPr>
        <w:t>a raised</w:t>
      </w:r>
      <w:proofErr w:type="gramEnd"/>
      <w:r w:rsidRPr="00B674CF">
        <w:rPr>
          <w:rFonts w:ascii="Times New Roman" w:hAnsi="Times New Roman" w:cs="Times New Roman"/>
          <w:sz w:val="22"/>
          <w:szCs w:val="22"/>
        </w:rPr>
        <w:t xml:space="preserve"> CPK</w:t>
      </w:r>
      <w:r w:rsidR="000E06F1" w:rsidRPr="00B674CF">
        <w:rPr>
          <w:rFonts w:ascii="Times New Roman" w:hAnsi="Times New Roman" w:cs="Times New Roman"/>
          <w:sz w:val="22"/>
          <w:szCs w:val="22"/>
        </w:rPr>
        <w:t>;</w:t>
      </w:r>
      <w:r w:rsidRPr="00B674CF">
        <w:rPr>
          <w:rFonts w:ascii="Times New Roman" w:hAnsi="Times New Roman" w:cs="Times New Roman"/>
          <w:sz w:val="22"/>
          <w:szCs w:val="22"/>
        </w:rPr>
        <w:t xml:space="preserve"> MRI confirmed myositis and myonecrosis</w:t>
      </w:r>
      <w:r w:rsidR="000E06F1" w:rsidRPr="00B674CF">
        <w:rPr>
          <w:rFonts w:ascii="Times New Roman" w:hAnsi="Times New Roman" w:cs="Times New Roman"/>
          <w:sz w:val="22"/>
          <w:szCs w:val="22"/>
        </w:rPr>
        <w:t>;</w:t>
      </w:r>
      <w:r w:rsidRPr="00B674CF">
        <w:rPr>
          <w:rFonts w:ascii="Times New Roman" w:hAnsi="Times New Roman" w:cs="Times New Roman"/>
          <w:sz w:val="22"/>
          <w:szCs w:val="22"/>
        </w:rPr>
        <w:t xml:space="preserve"> nerve conduction studies show</w:t>
      </w:r>
      <w:r w:rsidR="000E06F1" w:rsidRPr="00B674CF">
        <w:rPr>
          <w:rFonts w:ascii="Times New Roman" w:hAnsi="Times New Roman" w:cs="Times New Roman"/>
          <w:sz w:val="22"/>
          <w:szCs w:val="22"/>
        </w:rPr>
        <w:t>ed</w:t>
      </w:r>
      <w:r w:rsidRPr="00B674CF">
        <w:rPr>
          <w:rFonts w:ascii="Times New Roman" w:hAnsi="Times New Roman" w:cs="Times New Roman"/>
          <w:sz w:val="22"/>
          <w:szCs w:val="22"/>
        </w:rPr>
        <w:t xml:space="preserve"> bilateral lower limb and axillary sensory motor neuropathy. Conservative management</w:t>
      </w:r>
      <w:r w:rsidR="000E06F1" w:rsidRPr="00B674CF">
        <w:rPr>
          <w:rFonts w:ascii="Times New Roman" w:hAnsi="Times New Roman" w:cs="Times New Roman"/>
          <w:sz w:val="22"/>
          <w:szCs w:val="22"/>
        </w:rPr>
        <w:t xml:space="preserve">, </w:t>
      </w:r>
      <w:r w:rsidR="0092775E" w:rsidRPr="00B674CF">
        <w:rPr>
          <w:rFonts w:ascii="Times New Roman" w:hAnsi="Times New Roman" w:cs="Times New Roman"/>
          <w:color w:val="171717" w:themeColor="background2" w:themeShade="1A"/>
          <w:sz w:val="22"/>
          <w:szCs w:val="22"/>
        </w:rPr>
        <w:t xml:space="preserve">including </w:t>
      </w:r>
      <w:r w:rsidRPr="00B674CF">
        <w:rPr>
          <w:rFonts w:ascii="Times New Roman" w:hAnsi="Times New Roman" w:cs="Times New Roman"/>
          <w:sz w:val="22"/>
          <w:szCs w:val="22"/>
        </w:rPr>
        <w:t>IV fluids, analgesics, plasmapheresis</w:t>
      </w:r>
      <w:r w:rsidR="000E06F1" w:rsidRPr="00B674CF">
        <w:rPr>
          <w:rFonts w:ascii="Times New Roman" w:hAnsi="Times New Roman" w:cs="Times New Roman"/>
          <w:sz w:val="22"/>
          <w:szCs w:val="22"/>
        </w:rPr>
        <w:t>,</w:t>
      </w:r>
      <w:r w:rsidRPr="00B674CF">
        <w:rPr>
          <w:rFonts w:ascii="Times New Roman" w:hAnsi="Times New Roman" w:cs="Times New Roman"/>
          <w:sz w:val="22"/>
          <w:szCs w:val="22"/>
        </w:rPr>
        <w:t xml:space="preserve"> and antibiotics</w:t>
      </w:r>
      <w:r w:rsidR="000E06F1" w:rsidRPr="00B674CF">
        <w:rPr>
          <w:rFonts w:ascii="Times New Roman" w:hAnsi="Times New Roman" w:cs="Times New Roman"/>
          <w:sz w:val="22"/>
          <w:szCs w:val="22"/>
        </w:rPr>
        <w:t>,</w:t>
      </w:r>
      <w:r w:rsidRPr="00B674CF">
        <w:rPr>
          <w:rFonts w:ascii="Times New Roman" w:hAnsi="Times New Roman" w:cs="Times New Roman"/>
          <w:sz w:val="22"/>
          <w:szCs w:val="22"/>
        </w:rPr>
        <w:t xml:space="preserve"> resulted in uneventful recovery. </w:t>
      </w:r>
      <w:r w:rsidR="00605FB2" w:rsidRPr="00B674CF">
        <w:rPr>
          <w:rFonts w:ascii="Times New Roman" w:hAnsi="Times New Roman" w:cs="Times New Roman"/>
          <w:sz w:val="22"/>
          <w:szCs w:val="22"/>
          <w:vertAlign w:val="superscript"/>
        </w:rPr>
        <w:fldChar w:fldCharType="begin"/>
      </w:r>
      <w:r w:rsidR="00CD2508" w:rsidRPr="00B674CF">
        <w:rPr>
          <w:rFonts w:ascii="Times New Roman" w:hAnsi="Times New Roman" w:cs="Times New Roman"/>
          <w:sz w:val="22"/>
          <w:szCs w:val="22"/>
          <w:vertAlign w:val="superscript"/>
        </w:rPr>
        <w:instrText xml:space="preserve"> ADDIN EN.CITE &lt;EndNote&gt;&lt;Cite&gt;&lt;Author&gt;Gulia&lt;/Author&gt;&lt;Year&gt;2020&lt;/Year&gt;&lt;RecNum&gt;24&lt;/RecNum&gt;&lt;DisplayText&gt;10&lt;/DisplayText&gt;&lt;record&gt;&lt;rec-number&gt;24&lt;/rec-number&gt;&lt;foreign-keys&gt;&lt;key app="EN" db-id="02z25wdvbps9aiez5zrpdvwaxrsa5et0rw9z" timestamp="1757130042"&gt;24&lt;/key&gt;&lt;/foreign-keys&gt;&lt;ref-type name="Journal Article"&gt;17&lt;/ref-type&gt;&lt;contributors&gt;&lt;authors&gt;&lt;author&gt;Gulia, M.&lt;/author&gt;&lt;author&gt;Dalal, P.&lt;/author&gt;&lt;author&gt;Gupta, M.&lt;/author&gt;&lt;author&gt;Kaur, D.&lt;/author&gt;&lt;/authors&gt;&lt;/contributors&gt;&lt;auth-address&gt;Department of General Medicine, Government Medical College and Hospital, Chandigarh, India.&amp;#xD;Department of General Medicine, Government Medical College and Hospital, Chandigarh, India monicamanish2001@gmail.com.&lt;/auth-address&gt;&lt;titles&gt;&lt;title&gt;Concurrent Guillain-Barré syndrome and myositis complicating dengue fever&lt;/title&gt;&lt;secondary-title&gt;BMJ Case Rep&lt;/secondary-title&gt;&lt;/titles&gt;&lt;periodical&gt;&lt;full-title&gt;BMJ Case Rep&lt;/full-title&gt;&lt;/periodical&gt;&lt;volume&gt;13&lt;/volume&gt;&lt;number&gt;2&lt;/number&gt;&lt;edition&gt;2020/02/13&lt;/edition&gt;&lt;keywords&gt;&lt;keyword&gt;Analgesics/therapeutic use&lt;/keyword&gt;&lt;keyword&gt;Anti-Bacterial Agents/therapeutic use&lt;/keyword&gt;&lt;keyword&gt;Dengue/*complications/therapy&lt;/keyword&gt;&lt;keyword&gt;Diagnosis, Differential&lt;/keyword&gt;&lt;keyword&gt;Guillain-Barre Syndrome/therapy/*virology&lt;/keyword&gt;&lt;keyword&gt;Humans&lt;/keyword&gt;&lt;keyword&gt;Male&lt;/keyword&gt;&lt;keyword&gt;Myositis/therapy/*virology&lt;/keyword&gt;&lt;keyword&gt;Plasmapheresis&lt;/keyword&gt;&lt;keyword&gt;Young Adult&lt;/keyword&gt;&lt;keyword&gt;infection (neurology)&lt;/keyword&gt;&lt;keyword&gt;infectious diseases&lt;/keyword&gt;&lt;keyword&gt;muscle disease&lt;/keyword&gt;&lt;keyword&gt;peripheral nerve disease&lt;/keyword&gt;&lt;/keywords&gt;&lt;dates&gt;&lt;year&gt;2020&lt;/year&gt;&lt;pub-dates&gt;&lt;date&gt;Feb 10&lt;/date&gt;&lt;/pub-dates&gt;&lt;/dates&gt;&lt;isbn&gt;1757-790x&lt;/isbn&gt;&lt;accession-num&gt;32047085&lt;/accession-num&gt;&lt;urls&gt;&lt;/urls&gt;&lt;custom2&gt;PMC7035824&lt;/custom2&gt;&lt;electronic-resource-num&gt;10.1136/bcr-2019-232940&lt;/electronic-resource-num&gt;&lt;remote-database-provider&gt;NLM&lt;/remote-database-provider&gt;&lt;language&gt;eng&lt;/language&gt;&lt;/record&gt;&lt;/Cite&gt;&lt;/EndNote&gt;</w:instrText>
      </w:r>
      <w:r w:rsidR="00605FB2" w:rsidRPr="00B674CF">
        <w:rPr>
          <w:rFonts w:ascii="Times New Roman" w:hAnsi="Times New Roman" w:cs="Times New Roman"/>
          <w:sz w:val="22"/>
          <w:szCs w:val="22"/>
          <w:vertAlign w:val="superscript"/>
        </w:rPr>
        <w:fldChar w:fldCharType="separate"/>
      </w:r>
      <w:r w:rsidR="00CD2508" w:rsidRPr="00B674CF">
        <w:rPr>
          <w:rFonts w:ascii="Times New Roman" w:hAnsi="Times New Roman" w:cs="Times New Roman"/>
          <w:noProof/>
          <w:sz w:val="22"/>
          <w:szCs w:val="22"/>
          <w:vertAlign w:val="superscript"/>
        </w:rPr>
        <w:t>10</w:t>
      </w:r>
      <w:r w:rsidR="00605FB2" w:rsidRPr="00B674CF">
        <w:rPr>
          <w:rFonts w:ascii="Times New Roman" w:hAnsi="Times New Roman" w:cs="Times New Roman"/>
          <w:sz w:val="22"/>
          <w:szCs w:val="22"/>
          <w:vertAlign w:val="superscript"/>
        </w:rPr>
        <w:fldChar w:fldCharType="end"/>
      </w:r>
    </w:p>
    <w:p w14:paraId="6E54EAA2" w14:textId="49A655D8" w:rsidR="005A13BF" w:rsidRPr="00B674CF" w:rsidRDefault="005A13BF" w:rsidP="00B674CF">
      <w:pPr>
        <w:spacing w:after="0" w:line="360" w:lineRule="auto"/>
        <w:jc w:val="both"/>
        <w:rPr>
          <w:rFonts w:ascii="Times New Roman" w:hAnsi="Times New Roman" w:cs="Times New Roman"/>
          <w:sz w:val="22"/>
          <w:szCs w:val="22"/>
        </w:rPr>
      </w:pPr>
      <w:r w:rsidRPr="00B674CF">
        <w:rPr>
          <w:rFonts w:ascii="Times New Roman" w:hAnsi="Times New Roman" w:cs="Times New Roman"/>
          <w:sz w:val="22"/>
          <w:szCs w:val="22"/>
        </w:rPr>
        <w:t>Hypokalemic paralysis, another potential complication of dengue fever, can present with acute severe flaccid paralysis of both lower and upper limb</w:t>
      </w:r>
      <w:r w:rsidR="000E06F1" w:rsidRPr="00B674CF">
        <w:rPr>
          <w:rFonts w:ascii="Times New Roman" w:hAnsi="Times New Roman" w:cs="Times New Roman"/>
          <w:sz w:val="22"/>
          <w:szCs w:val="22"/>
        </w:rPr>
        <w:t>s</w:t>
      </w:r>
      <w:r w:rsidRPr="00B674CF">
        <w:rPr>
          <w:rFonts w:ascii="Times New Roman" w:hAnsi="Times New Roman" w:cs="Times New Roman"/>
          <w:sz w:val="22"/>
          <w:szCs w:val="22"/>
        </w:rPr>
        <w:t>.</w:t>
      </w:r>
      <w:r w:rsidR="00DC0608" w:rsidRPr="00B674CF">
        <w:rPr>
          <w:rFonts w:ascii="Times New Roman" w:hAnsi="Times New Roman" w:cs="Times New Roman"/>
          <w:sz w:val="22"/>
          <w:szCs w:val="22"/>
        </w:rPr>
        <w:t xml:space="preserve"> Hypokalemic paralysis in dengue is attributed to a combination of transient intracellular potassium shift, renal potassium wasting and reversible tubular dysfunction.</w:t>
      </w:r>
      <w:r w:rsidR="008D48EF" w:rsidRPr="00B674CF">
        <w:rPr>
          <w:rFonts w:ascii="Times New Roman" w:hAnsi="Times New Roman" w:cs="Times New Roman"/>
          <w:sz w:val="22"/>
          <w:szCs w:val="22"/>
        </w:rPr>
        <w:t xml:space="preserve"> </w:t>
      </w:r>
      <w:r w:rsidR="008D48EF" w:rsidRPr="00B674CF">
        <w:rPr>
          <w:rFonts w:ascii="Times New Roman" w:hAnsi="Times New Roman" w:cs="Times New Roman"/>
          <w:sz w:val="22"/>
          <w:szCs w:val="22"/>
          <w:vertAlign w:val="superscript"/>
        </w:rPr>
        <w:fldChar w:fldCharType="begin"/>
      </w:r>
      <w:r w:rsidR="00CD2508" w:rsidRPr="00B674CF">
        <w:rPr>
          <w:rFonts w:ascii="Times New Roman" w:hAnsi="Times New Roman" w:cs="Times New Roman"/>
          <w:sz w:val="22"/>
          <w:szCs w:val="22"/>
          <w:vertAlign w:val="superscript"/>
        </w:rPr>
        <w:instrText xml:space="preserve"> ADDIN EN.CITE &lt;EndNote&gt;&lt;Cite&gt;&lt;Author&gt;Garg&lt;/Author&gt;&lt;Year&gt;2015&lt;/Year&gt;&lt;RecNum&gt;115&lt;/RecNum&gt;&lt;DisplayText&gt;11&lt;/DisplayText&gt;&lt;record&gt;&lt;rec-number&gt;115&lt;/rec-number&gt;&lt;foreign-keys&gt;&lt;key app="EN" db-id="02z25wdvbps9aiez5zrpdvwaxrsa5et0rw9z" timestamp="1784228578"&gt;115&lt;/key&gt;&lt;/foreign-keys&gt;&lt;ref-type name="Journal Article"&gt;17&lt;/ref-type&gt;&lt;contributors&gt;&lt;authors&gt;&lt;author&gt;Garg, R. K.&lt;/author&gt;&lt;author&gt;Malhotra, H. S.&lt;/author&gt;&lt;author&gt;Jain, A.&lt;/author&gt;&lt;author&gt;Malhotra, K. P.&lt;/author&gt;&lt;/authors&gt;&lt;/contributors&gt;&lt;auth-address&gt;Department of Neurology, King George Medical University, Lucknow, Uttar Pradesh, India.&lt;/auth-address&gt;&lt;titles&gt;&lt;title&gt;Dengue-associated neuromuscular complications&lt;/title&gt;&lt;secondary-title&gt;Neurol India&lt;/secondary-title&gt;&lt;/titles&gt;&lt;periodical&gt;&lt;full-title&gt;Neurol India&lt;/full-title&gt;&lt;/periodical&gt;&lt;pages&gt;497-516&lt;/pages&gt;&lt;volume&gt;63&lt;/volume&gt;&lt;number&gt;4&lt;/number&gt;&lt;edition&gt;2015/08/05&lt;/edition&gt;&lt;dates&gt;&lt;year&gt;2015&lt;/year&gt;&lt;pub-dates&gt;&lt;date&gt;Jul-Aug&lt;/date&gt;&lt;/pub-dates&gt;&lt;/dates&gt;&lt;isbn&gt;0028-3886 (Print)&amp;#xD;0028-3886&lt;/isbn&gt;&lt;accession-num&gt;26238884&lt;/accession-num&gt;&lt;urls&gt;&lt;/urls&gt;&lt;electronic-resource-num&gt;10.4103/0028-3886.161990&lt;/electronic-resource-num&gt;&lt;remote-database-provider&gt;NLM&lt;/remote-database-provider&gt;&lt;language&gt;eng&lt;/language&gt;&lt;/record&gt;&lt;/Cite&gt;&lt;/EndNote&gt;</w:instrText>
      </w:r>
      <w:r w:rsidR="008D48EF" w:rsidRPr="00B674CF">
        <w:rPr>
          <w:rFonts w:ascii="Times New Roman" w:hAnsi="Times New Roman" w:cs="Times New Roman"/>
          <w:sz w:val="22"/>
          <w:szCs w:val="22"/>
          <w:vertAlign w:val="superscript"/>
        </w:rPr>
        <w:fldChar w:fldCharType="separate"/>
      </w:r>
      <w:r w:rsidR="00CD2508" w:rsidRPr="00B674CF">
        <w:rPr>
          <w:rFonts w:ascii="Times New Roman" w:hAnsi="Times New Roman" w:cs="Times New Roman"/>
          <w:noProof/>
          <w:sz w:val="22"/>
          <w:szCs w:val="22"/>
          <w:vertAlign w:val="superscript"/>
        </w:rPr>
        <w:t>11</w:t>
      </w:r>
      <w:r w:rsidR="008D48EF" w:rsidRPr="00B674CF">
        <w:rPr>
          <w:rFonts w:ascii="Times New Roman" w:hAnsi="Times New Roman" w:cs="Times New Roman"/>
          <w:sz w:val="22"/>
          <w:szCs w:val="22"/>
          <w:vertAlign w:val="superscript"/>
        </w:rPr>
        <w:fldChar w:fldCharType="end"/>
      </w:r>
      <w:r w:rsidRPr="00B674CF">
        <w:rPr>
          <w:rFonts w:ascii="Times New Roman" w:hAnsi="Times New Roman" w:cs="Times New Roman"/>
          <w:sz w:val="22"/>
          <w:szCs w:val="22"/>
        </w:rPr>
        <w:t xml:space="preserve"> An important differential to consider is </w:t>
      </w:r>
      <w:r w:rsidR="000E06F1" w:rsidRPr="00B674CF">
        <w:rPr>
          <w:rFonts w:ascii="Times New Roman" w:hAnsi="Times New Roman" w:cs="Times New Roman"/>
          <w:sz w:val="22"/>
          <w:szCs w:val="22"/>
        </w:rPr>
        <w:t>Guillain-Barré</w:t>
      </w:r>
      <w:r w:rsidRPr="00B674CF">
        <w:rPr>
          <w:rFonts w:ascii="Times New Roman" w:hAnsi="Times New Roman" w:cs="Times New Roman"/>
          <w:sz w:val="22"/>
          <w:szCs w:val="22"/>
        </w:rPr>
        <w:t xml:space="preserve"> syndrome, as both present with acute flaccid paralysis and hyporeflexia</w:t>
      </w:r>
      <w:r w:rsidR="0092775E" w:rsidRPr="00B674CF">
        <w:rPr>
          <w:rFonts w:ascii="Times New Roman" w:hAnsi="Times New Roman" w:cs="Times New Roman"/>
          <w:sz w:val="22"/>
          <w:szCs w:val="22"/>
        </w:rPr>
        <w:t>,</w:t>
      </w:r>
      <w:r w:rsidRPr="00B674CF">
        <w:rPr>
          <w:rFonts w:ascii="Times New Roman" w:hAnsi="Times New Roman" w:cs="Times New Roman"/>
          <w:sz w:val="22"/>
          <w:szCs w:val="22"/>
        </w:rPr>
        <w:t xml:space="preserve"> but the hypokalemic paralysis responds rapidly to potassium </w:t>
      </w:r>
      <w:r w:rsidRPr="00B674CF">
        <w:rPr>
          <w:rFonts w:ascii="Times New Roman" w:hAnsi="Times New Roman" w:cs="Times New Roman"/>
          <w:sz w:val="22"/>
          <w:szCs w:val="22"/>
        </w:rPr>
        <w:lastRenderedPageBreak/>
        <w:t xml:space="preserve">supplements while GBS requires IV immunoglobulins. Studies have shown that </w:t>
      </w:r>
      <w:r w:rsidR="000E06F1" w:rsidRPr="00B674CF">
        <w:rPr>
          <w:rFonts w:ascii="Times New Roman" w:hAnsi="Times New Roman" w:cs="Times New Roman"/>
          <w:sz w:val="22"/>
          <w:szCs w:val="22"/>
        </w:rPr>
        <w:t>up to</w:t>
      </w:r>
      <w:r w:rsidRPr="00B674CF">
        <w:rPr>
          <w:rFonts w:ascii="Times New Roman" w:hAnsi="Times New Roman" w:cs="Times New Roman"/>
          <w:sz w:val="22"/>
          <w:szCs w:val="22"/>
        </w:rPr>
        <w:t xml:space="preserve"> 70 % of dengue </w:t>
      </w:r>
      <w:r w:rsidR="000E06F1" w:rsidRPr="00B674CF">
        <w:rPr>
          <w:rFonts w:ascii="Times New Roman" w:hAnsi="Times New Roman" w:cs="Times New Roman"/>
          <w:sz w:val="22"/>
          <w:szCs w:val="22"/>
        </w:rPr>
        <w:t>patients</w:t>
      </w:r>
      <w:r w:rsidRPr="00B674CF">
        <w:rPr>
          <w:rFonts w:ascii="Times New Roman" w:hAnsi="Times New Roman" w:cs="Times New Roman"/>
          <w:sz w:val="22"/>
          <w:szCs w:val="22"/>
        </w:rPr>
        <w:t xml:space="preserve"> have hypokalemia </w:t>
      </w:r>
      <w:r w:rsidR="000E06F1" w:rsidRPr="00B674CF">
        <w:rPr>
          <w:rFonts w:ascii="Times New Roman" w:hAnsi="Times New Roman" w:cs="Times New Roman"/>
          <w:sz w:val="22"/>
          <w:szCs w:val="22"/>
        </w:rPr>
        <w:t>to</w:t>
      </w:r>
      <w:r w:rsidRPr="00B674CF">
        <w:rPr>
          <w:rFonts w:ascii="Times New Roman" w:hAnsi="Times New Roman" w:cs="Times New Roman"/>
          <w:sz w:val="22"/>
          <w:szCs w:val="22"/>
        </w:rPr>
        <w:t xml:space="preserve"> some extent only a few progress into overt paralysis</w:t>
      </w:r>
      <w:r w:rsidR="00134BCD" w:rsidRPr="00B674CF">
        <w:rPr>
          <w:rFonts w:ascii="Times New Roman" w:hAnsi="Times New Roman" w:cs="Times New Roman"/>
          <w:sz w:val="22"/>
          <w:szCs w:val="22"/>
        </w:rPr>
        <w:t>.</w:t>
      </w:r>
      <w:r w:rsidR="00605FB2" w:rsidRPr="00B674CF">
        <w:rPr>
          <w:rFonts w:ascii="Times New Roman" w:hAnsi="Times New Roman" w:cs="Times New Roman"/>
          <w:sz w:val="22"/>
          <w:szCs w:val="22"/>
        </w:rPr>
        <w:t xml:space="preserve"> </w:t>
      </w:r>
      <w:r w:rsidR="00605FB2" w:rsidRPr="00B674CF">
        <w:rPr>
          <w:rFonts w:ascii="Times New Roman" w:hAnsi="Times New Roman" w:cs="Times New Roman"/>
          <w:sz w:val="22"/>
          <w:szCs w:val="22"/>
          <w:vertAlign w:val="superscript"/>
        </w:rPr>
        <w:fldChar w:fldCharType="begin"/>
      </w:r>
      <w:r w:rsidR="00CD2508" w:rsidRPr="00B674CF">
        <w:rPr>
          <w:rFonts w:ascii="Times New Roman" w:hAnsi="Times New Roman" w:cs="Times New Roman"/>
          <w:sz w:val="22"/>
          <w:szCs w:val="22"/>
          <w:vertAlign w:val="superscript"/>
        </w:rPr>
        <w:instrText xml:space="preserve"> ADDIN EN.CITE &lt;EndNote&gt;&lt;Cite&gt;&lt;Author&gt;Malhotra&lt;/Author&gt;&lt;Year&gt;2014&lt;/Year&gt;&lt;RecNum&gt;25&lt;/RecNum&gt;&lt;DisplayText&gt;12&lt;/DisplayText&gt;&lt;record&gt;&lt;rec-number&gt;25&lt;/rec-number&gt;&lt;foreign-keys&gt;&lt;key app="EN" db-id="02z25wdvbps9aiez5zrpdvwaxrsa5et0rw9z" timestamp="1757130052"&gt;25&lt;/key&gt;&lt;/foreign-keys&gt;&lt;ref-type name="Journal Article"&gt;17&lt;/ref-type&gt;&lt;contributors&gt;&lt;authors&gt;&lt;author&gt;Malhotra, H. S.&lt;/author&gt;&lt;author&gt;Garg, R. K.&lt;/author&gt;&lt;/authors&gt;&lt;/contributors&gt;&lt;auth-address&gt;Department of Neurology, King George&amp;apos;s Medical University, U.P., Lucknow 226003, India. Electronic address: drhsmalhotra@gmail.com.&amp;#xD;Department of Neurology, King George&amp;apos;s Medical University, U.P., Lucknow 226003, India. Electronic address: garg50@yahoo.com.&lt;/auth-address&gt;&lt;titles&gt;&lt;title&gt;Dengue-associated hypokalemic paralysis: causal or incidental?&lt;/title&gt;&lt;secondary-title&gt;J Neurol Sci&lt;/secondary-title&gt;&lt;/titles&gt;&lt;periodical&gt;&lt;full-title&gt;J Neurol Sci&lt;/full-title&gt;&lt;/periodical&gt;&lt;pages&gt;19-25&lt;/pages&gt;&lt;volume&gt;340&lt;/volume&gt;&lt;number&gt;1-2&lt;/number&gt;&lt;edition&gt;2014/04/01&lt;/edition&gt;&lt;keywords&gt;&lt;keyword&gt;Dengue/*complications&lt;/keyword&gt;&lt;keyword&gt;Dengue Virus/pathogenicity&lt;/keyword&gt;&lt;keyword&gt;Humans&lt;/keyword&gt;&lt;keyword&gt;Hypokalemic Periodic Paralysis/*etiology/*virology&lt;/keyword&gt;&lt;keyword&gt;Incidental Findings&lt;/keyword&gt;&lt;keyword&gt;Dengue&lt;/keyword&gt;&lt;keyword&gt;Electrophysiology&lt;/keyword&gt;&lt;keyword&gt;Hypokalemia&lt;/keyword&gt;&lt;keyword&gt;Hypokalemic periodic paralysis&lt;/keyword&gt;&lt;keyword&gt;Neuromuscular&lt;/keyword&gt;&lt;keyword&gt;Paralysis&lt;/keyword&gt;&lt;/keywords&gt;&lt;dates&gt;&lt;year&gt;2014&lt;/year&gt;&lt;pub-dates&gt;&lt;date&gt;May 15&lt;/date&gt;&lt;/pub-dates&gt;&lt;/dates&gt;&lt;isbn&gt;0022-510x&lt;/isbn&gt;&lt;accession-num&gt;24680561&lt;/accession-num&gt;&lt;urls&gt;&lt;/urls&gt;&lt;electronic-resource-num&gt;10.1016/j.jns.2014.03.016&lt;/electronic-resource-num&gt;&lt;remote-database-provider&gt;NLM&lt;/remote-database-provider&gt;&lt;language&gt;eng&lt;/language&gt;&lt;/record&gt;&lt;/Cite&gt;&lt;/EndNote&gt;</w:instrText>
      </w:r>
      <w:r w:rsidR="00605FB2" w:rsidRPr="00B674CF">
        <w:rPr>
          <w:rFonts w:ascii="Times New Roman" w:hAnsi="Times New Roman" w:cs="Times New Roman"/>
          <w:sz w:val="22"/>
          <w:szCs w:val="22"/>
          <w:vertAlign w:val="superscript"/>
        </w:rPr>
        <w:fldChar w:fldCharType="separate"/>
      </w:r>
      <w:r w:rsidR="00CD2508" w:rsidRPr="00B674CF">
        <w:rPr>
          <w:rFonts w:ascii="Times New Roman" w:hAnsi="Times New Roman" w:cs="Times New Roman"/>
          <w:noProof/>
          <w:sz w:val="22"/>
          <w:szCs w:val="22"/>
          <w:vertAlign w:val="superscript"/>
        </w:rPr>
        <w:t>12</w:t>
      </w:r>
      <w:r w:rsidR="00605FB2" w:rsidRPr="00B674CF">
        <w:rPr>
          <w:rFonts w:ascii="Times New Roman" w:hAnsi="Times New Roman" w:cs="Times New Roman"/>
          <w:sz w:val="22"/>
          <w:szCs w:val="22"/>
          <w:vertAlign w:val="superscript"/>
        </w:rPr>
        <w:fldChar w:fldCharType="end"/>
      </w:r>
    </w:p>
    <w:p w14:paraId="1E4645DF" w14:textId="09ADCA78" w:rsidR="008F3F15" w:rsidRPr="00B674CF" w:rsidRDefault="002D6D86" w:rsidP="00B674CF">
      <w:pPr>
        <w:spacing w:after="0" w:line="360" w:lineRule="auto"/>
        <w:jc w:val="both"/>
        <w:rPr>
          <w:rFonts w:ascii="Times New Roman" w:hAnsi="Times New Roman" w:cs="Times New Roman"/>
          <w:sz w:val="22"/>
          <w:szCs w:val="22"/>
        </w:rPr>
      </w:pPr>
      <w:r w:rsidRPr="00B674CF">
        <w:rPr>
          <w:rFonts w:ascii="Times New Roman" w:hAnsi="Times New Roman" w:cs="Times New Roman"/>
          <w:sz w:val="22"/>
          <w:szCs w:val="22"/>
        </w:rPr>
        <w:t>While myalgia is common, its correlation with objective markers of muscle damage like CPK is poorly understood. Furthermore, the prevalence of severe complications like rhabdomyolysis in a systematic cohort, and their predictive factors, remain undefined. This study aims to quantitatively define the spectrum of muscular involvement in dengue and its correlation with CPK levels.</w:t>
      </w:r>
    </w:p>
    <w:p w14:paraId="262C3655" w14:textId="16A52D29" w:rsidR="00441EF8" w:rsidRPr="00B674CF" w:rsidRDefault="00C87EA4" w:rsidP="00B674CF">
      <w:pPr>
        <w:spacing w:after="0" w:line="360" w:lineRule="auto"/>
        <w:jc w:val="both"/>
        <w:rPr>
          <w:rFonts w:ascii="Times New Roman" w:hAnsi="Times New Roman" w:cs="Times New Roman"/>
          <w:color w:val="171717" w:themeColor="background2" w:themeShade="1A"/>
          <w:sz w:val="22"/>
          <w:szCs w:val="22"/>
          <w:vertAlign w:val="superscript"/>
        </w:rPr>
      </w:pPr>
      <w:r w:rsidRPr="00B674CF">
        <w:rPr>
          <w:rFonts w:ascii="Times New Roman" w:hAnsi="Times New Roman" w:cs="Times New Roman"/>
          <w:bCs/>
          <w:color w:val="171717" w:themeColor="background2" w:themeShade="1A"/>
          <w:sz w:val="22"/>
          <w:szCs w:val="22"/>
        </w:rPr>
        <w:t xml:space="preserve">Objective: To determine the prevalence and clinical characteristics of muscular involvement in dengue infection, including myalgia, myositis, rhabdomyolysis, and </w:t>
      </w:r>
      <w:proofErr w:type="spellStart"/>
      <w:r w:rsidRPr="00B674CF">
        <w:rPr>
          <w:rFonts w:ascii="Times New Roman" w:hAnsi="Times New Roman" w:cs="Times New Roman"/>
          <w:bCs/>
          <w:color w:val="171717" w:themeColor="background2" w:themeShade="1A"/>
          <w:sz w:val="22"/>
          <w:szCs w:val="22"/>
        </w:rPr>
        <w:t>hypokalaemic</w:t>
      </w:r>
      <w:proofErr w:type="spellEnd"/>
      <w:r w:rsidRPr="00B674CF">
        <w:rPr>
          <w:rFonts w:ascii="Times New Roman" w:hAnsi="Times New Roman" w:cs="Times New Roman"/>
          <w:bCs/>
          <w:color w:val="171717" w:themeColor="background2" w:themeShade="1A"/>
          <w:sz w:val="22"/>
          <w:szCs w:val="22"/>
        </w:rPr>
        <w:t xml:space="preserve"> paralysis, by evaluating clinical presentations and laboratory parameters—particularly creatine phosphokinase (CPK) levels—in patients presenting to the outpatient department and those admitted to the dengue ward.</w:t>
      </w:r>
    </w:p>
    <w:p w14:paraId="0604E1FB" w14:textId="55672581" w:rsidR="005A13BF" w:rsidRPr="00B674CF" w:rsidRDefault="009139FF" w:rsidP="00B674CF">
      <w:pPr>
        <w:spacing w:after="0" w:line="360" w:lineRule="auto"/>
        <w:jc w:val="both"/>
        <w:rPr>
          <w:rFonts w:ascii="Times New Roman" w:hAnsi="Times New Roman" w:cs="Times New Roman"/>
          <w:b/>
          <w:sz w:val="22"/>
          <w:szCs w:val="22"/>
          <w:u w:val="single"/>
        </w:rPr>
      </w:pPr>
      <w:r w:rsidRPr="00B674CF">
        <w:rPr>
          <w:rFonts w:ascii="Times New Roman" w:hAnsi="Times New Roman" w:cs="Times New Roman"/>
          <w:b/>
          <w:sz w:val="22"/>
          <w:szCs w:val="22"/>
        </w:rPr>
        <w:t>Method</w:t>
      </w:r>
      <w:r w:rsidR="00B674CF">
        <w:rPr>
          <w:rFonts w:ascii="Times New Roman" w:hAnsi="Times New Roman" w:cs="Times New Roman"/>
          <w:b/>
          <w:sz w:val="22"/>
          <w:szCs w:val="22"/>
        </w:rPr>
        <w:t>s</w:t>
      </w:r>
      <w:r w:rsidRPr="00B674CF" w:rsidDel="009139FF">
        <w:rPr>
          <w:rFonts w:ascii="Times New Roman" w:hAnsi="Times New Roman" w:cs="Times New Roman"/>
          <w:b/>
          <w:sz w:val="22"/>
          <w:szCs w:val="22"/>
          <w:u w:val="single"/>
        </w:rPr>
        <w:t xml:space="preserve"> </w:t>
      </w:r>
    </w:p>
    <w:p w14:paraId="45B4D70C" w14:textId="663874B2" w:rsidR="00960941" w:rsidRPr="00B674CF" w:rsidRDefault="00960941" w:rsidP="00B674CF">
      <w:pPr>
        <w:pStyle w:val="NormalWeb"/>
        <w:spacing w:before="0" w:beforeAutospacing="0" w:after="0" w:afterAutospacing="0" w:line="360" w:lineRule="auto"/>
        <w:jc w:val="both"/>
        <w:rPr>
          <w:rFonts w:eastAsiaTheme="minorHAnsi"/>
          <w:kern w:val="2"/>
          <w:sz w:val="22"/>
          <w:szCs w:val="22"/>
          <w14:ligatures w14:val="standardContextual"/>
        </w:rPr>
      </w:pPr>
      <w:r w:rsidRPr="00B674CF">
        <w:rPr>
          <w:rFonts w:eastAsiaTheme="minorHAnsi"/>
          <w:kern w:val="2"/>
          <w:sz w:val="22"/>
          <w:szCs w:val="22"/>
          <w14:ligatures w14:val="standardContextual"/>
        </w:rPr>
        <w:t xml:space="preserve">This prospective descriptive study was conducted in the Dengue Unit, Lady Reading Teaching Hospital, Peshawar, over a period of six months following approval of the synopsis. The sample size of </w:t>
      </w:r>
      <w:r w:rsidR="00E10FF4" w:rsidRPr="00B674CF">
        <w:rPr>
          <w:rFonts w:eastAsiaTheme="minorHAnsi"/>
          <w:kern w:val="2"/>
          <w:sz w:val="22"/>
          <w:szCs w:val="22"/>
          <w14:ligatures w14:val="standardContextual"/>
        </w:rPr>
        <w:t>75</w:t>
      </w:r>
      <w:r w:rsidRPr="00B674CF">
        <w:rPr>
          <w:rFonts w:eastAsiaTheme="minorHAnsi"/>
          <w:kern w:val="2"/>
          <w:sz w:val="22"/>
          <w:szCs w:val="22"/>
          <w14:ligatures w14:val="standardContextual"/>
        </w:rPr>
        <w:t xml:space="preserve"> was calculated using the </w:t>
      </w:r>
      <w:proofErr w:type="spellStart"/>
      <w:r w:rsidRPr="00B674CF">
        <w:rPr>
          <w:rFonts w:eastAsiaTheme="minorHAnsi"/>
          <w:kern w:val="2"/>
          <w:sz w:val="22"/>
          <w:szCs w:val="22"/>
          <w14:ligatures w14:val="standardContextual"/>
        </w:rPr>
        <w:t>OpenEpi</w:t>
      </w:r>
      <w:proofErr w:type="spellEnd"/>
      <w:r w:rsidRPr="00B674CF">
        <w:rPr>
          <w:rFonts w:eastAsiaTheme="minorHAnsi"/>
          <w:kern w:val="2"/>
          <w:sz w:val="22"/>
          <w:szCs w:val="22"/>
          <w14:ligatures w14:val="standardContextual"/>
        </w:rPr>
        <w:t xml:space="preserve"> sample size calculator, based on a 95% confidence level, 5% margin of error, and an assumed population proportion of 4%</w:t>
      </w:r>
      <w:r w:rsidR="00A27C19" w:rsidRPr="00B674CF">
        <w:rPr>
          <w:rFonts w:eastAsiaTheme="minorHAnsi"/>
          <w:kern w:val="2"/>
          <w:sz w:val="22"/>
          <w:szCs w:val="22"/>
          <w14:ligatures w14:val="standardContextual"/>
        </w:rPr>
        <w:t>.</w:t>
      </w:r>
      <w:r w:rsidRPr="00B674CF">
        <w:rPr>
          <w:rFonts w:eastAsiaTheme="minorHAnsi"/>
          <w:kern w:val="2"/>
          <w:sz w:val="22"/>
          <w:szCs w:val="22"/>
          <w:vertAlign w:val="superscript"/>
          <w14:ligatures w14:val="standardContextual"/>
        </w:rPr>
        <w:t>6</w:t>
      </w:r>
      <w:r w:rsidR="00A27C19" w:rsidRPr="00B674CF">
        <w:rPr>
          <w:rFonts w:eastAsiaTheme="minorHAnsi"/>
          <w:kern w:val="2"/>
          <w:sz w:val="22"/>
          <w:szCs w:val="22"/>
          <w:vertAlign w:val="superscript"/>
          <w14:ligatures w14:val="standardContextual"/>
        </w:rPr>
        <w:t xml:space="preserve"> </w:t>
      </w:r>
      <w:r w:rsidRPr="00B674CF">
        <w:rPr>
          <w:rFonts w:eastAsiaTheme="minorHAnsi"/>
          <w:kern w:val="2"/>
          <w:sz w:val="22"/>
          <w:szCs w:val="22"/>
          <w14:ligatures w14:val="standardContextual"/>
        </w:rPr>
        <w:t>Patients were enrolled through consecutive non-probability sampling.</w:t>
      </w:r>
    </w:p>
    <w:p w14:paraId="45AAAEF4" w14:textId="77777777" w:rsidR="00960941" w:rsidRPr="00B674CF" w:rsidRDefault="00960941" w:rsidP="00B674CF">
      <w:pPr>
        <w:pStyle w:val="NormalWeb"/>
        <w:spacing w:before="0" w:beforeAutospacing="0" w:after="0" w:afterAutospacing="0" w:line="360" w:lineRule="auto"/>
        <w:jc w:val="both"/>
        <w:rPr>
          <w:rFonts w:eastAsiaTheme="minorHAnsi"/>
          <w:kern w:val="2"/>
          <w:sz w:val="22"/>
          <w:szCs w:val="22"/>
          <w14:ligatures w14:val="standardContextual"/>
        </w:rPr>
      </w:pPr>
      <w:r w:rsidRPr="00B674CF">
        <w:rPr>
          <w:rFonts w:eastAsiaTheme="minorHAnsi"/>
          <w:kern w:val="2"/>
          <w:sz w:val="22"/>
          <w:szCs w:val="22"/>
          <w14:ligatures w14:val="standardContextual"/>
        </w:rPr>
        <w:t xml:space="preserve">Patients with a confirmed diagnosis of dengue fever, established by NS1 antigen or IgM serology, were included. Both male and female patients aged between 12 and 60 years, presenting within the first seven days of symptom onset, were eligible. Patients with pre-existing neuromuscular disorders such as myasthenia gravis, those with chronic diseases that could independently cause muscle weakness or pain such as chronic kidney disease or hypothyroidism, and those taking medications affecting muscle or potassium metabolism, including statins, corticosteroids, or diuretics, were excluded. Patients with other identified causes of </w:t>
      </w:r>
      <w:proofErr w:type="spellStart"/>
      <w:r w:rsidRPr="00B674CF">
        <w:rPr>
          <w:rFonts w:eastAsiaTheme="minorHAnsi"/>
          <w:kern w:val="2"/>
          <w:sz w:val="22"/>
          <w:szCs w:val="22"/>
          <w14:ligatures w14:val="standardContextual"/>
        </w:rPr>
        <w:t>hypokalaemia</w:t>
      </w:r>
      <w:proofErr w:type="spellEnd"/>
      <w:r w:rsidRPr="00B674CF">
        <w:rPr>
          <w:rFonts w:eastAsiaTheme="minorHAnsi"/>
          <w:kern w:val="2"/>
          <w:sz w:val="22"/>
          <w:szCs w:val="22"/>
          <w14:ligatures w14:val="standardContextual"/>
        </w:rPr>
        <w:t xml:space="preserve">, such as </w:t>
      </w:r>
      <w:proofErr w:type="spellStart"/>
      <w:r w:rsidRPr="00B674CF">
        <w:rPr>
          <w:rFonts w:eastAsiaTheme="minorHAnsi"/>
          <w:kern w:val="2"/>
          <w:sz w:val="22"/>
          <w:szCs w:val="22"/>
          <w14:ligatures w14:val="standardContextual"/>
        </w:rPr>
        <w:t>diarrhoea</w:t>
      </w:r>
      <w:proofErr w:type="spellEnd"/>
      <w:r w:rsidRPr="00B674CF">
        <w:rPr>
          <w:rFonts w:eastAsiaTheme="minorHAnsi"/>
          <w:kern w:val="2"/>
          <w:sz w:val="22"/>
          <w:szCs w:val="22"/>
          <w14:ligatures w14:val="standardContextual"/>
        </w:rPr>
        <w:t>, vomiting, or diuretic use, as well as those unwilling to provide informed consent, were also excluded.</w:t>
      </w:r>
    </w:p>
    <w:p w14:paraId="6464A618" w14:textId="02F3D0CD" w:rsidR="00855957" w:rsidRPr="00B674CF" w:rsidRDefault="00960941" w:rsidP="00B674CF">
      <w:pPr>
        <w:pStyle w:val="NormalWeb"/>
        <w:spacing w:before="0" w:beforeAutospacing="0" w:after="0" w:afterAutospacing="0" w:line="360" w:lineRule="auto"/>
        <w:jc w:val="both"/>
        <w:rPr>
          <w:sz w:val="22"/>
          <w:szCs w:val="22"/>
        </w:rPr>
      </w:pPr>
      <w:r w:rsidRPr="00B674CF">
        <w:rPr>
          <w:rFonts w:eastAsiaTheme="minorHAnsi"/>
          <w:kern w:val="2"/>
          <w:sz w:val="22"/>
          <w:szCs w:val="22"/>
          <w14:ligatures w14:val="standardContextual"/>
        </w:rPr>
        <w:t xml:space="preserve">Data were collected using a structured proforma, which included demographic information such as age, gender, and dengue status, along with detailed questions exploring muscular involvement in dengue fever. Written informed consent was obtained from all participants. The study was conducted after approval from the Institutional Review Board (IRB) of LRH, and permission was obtained from the head of the department prior to data collection. Confidentiality of participant data was ensured, with storage on a password-protected </w:t>
      </w:r>
      <w:r w:rsidR="00441EF8" w:rsidRPr="00B674CF">
        <w:rPr>
          <w:rFonts w:eastAsiaTheme="minorHAnsi"/>
          <w:kern w:val="2"/>
          <w:sz w:val="22"/>
          <w:szCs w:val="22"/>
          <w14:ligatures w14:val="standardContextual"/>
        </w:rPr>
        <w:t xml:space="preserve">computer. </w:t>
      </w:r>
      <w:r w:rsidR="0089745B" w:rsidRPr="00B674CF">
        <w:rPr>
          <w:sz w:val="22"/>
          <w:szCs w:val="22"/>
        </w:rPr>
        <w:t xml:space="preserve">Clinical assessment included documentation of muscle pain severity, muscle weakness (graded using the Medical Research Council scale), and laboratory investigations. Rhabdomyolysis was diagnosed in patients with CPK &gt;5× the upper limit of normal with compatible clinical features. Electrolyte levels, renal function, and other relevant laboratory parameters were measured. Data were analyzed using SPSS version 25. Continuous variables were expressed as mean ± SD or median (IQR), and categorical </w:t>
      </w:r>
      <w:r w:rsidR="0089745B" w:rsidRPr="00B674CF">
        <w:rPr>
          <w:sz w:val="22"/>
          <w:szCs w:val="22"/>
        </w:rPr>
        <w:lastRenderedPageBreak/>
        <w:t>variables as frequencies and percentages. Associations were examined using chi-square or Fisher’s exact test for categorical data and Mann–Whitney U test for non-normally distributed continuous variables. Odds ratios (ORs) and 95% confidence intervals (CIs) were reported where appropriate. A two-sided p &lt; 0.05 was considered statistically significant.</w:t>
      </w:r>
    </w:p>
    <w:p w14:paraId="04F5A712" w14:textId="56A996BE" w:rsidR="004E452B" w:rsidRPr="00B674CF" w:rsidRDefault="002A19BB" w:rsidP="00B674CF">
      <w:pPr>
        <w:pStyle w:val="ds-markdown-paragraph"/>
        <w:shd w:val="clear" w:color="auto" w:fill="FFFFFF"/>
        <w:spacing w:before="0" w:beforeAutospacing="0" w:after="0" w:afterAutospacing="0" w:line="360" w:lineRule="auto"/>
        <w:jc w:val="both"/>
        <w:rPr>
          <w:rFonts w:eastAsiaTheme="minorHAnsi"/>
          <w:b/>
          <w:bCs/>
          <w:kern w:val="2"/>
          <w:sz w:val="22"/>
          <w:szCs w:val="22"/>
          <w14:ligatures w14:val="standardContextual"/>
        </w:rPr>
      </w:pPr>
      <w:r w:rsidRPr="00B674CF">
        <w:rPr>
          <w:rFonts w:eastAsiaTheme="minorHAnsi"/>
          <w:b/>
          <w:bCs/>
          <w:kern w:val="2"/>
          <w:sz w:val="22"/>
          <w:szCs w:val="22"/>
          <w14:ligatures w14:val="standardContextual"/>
        </w:rPr>
        <w:t>Re</w:t>
      </w:r>
      <w:r w:rsidR="00B674CF">
        <w:rPr>
          <w:rFonts w:eastAsiaTheme="minorHAnsi"/>
          <w:b/>
          <w:bCs/>
          <w:kern w:val="2"/>
          <w:sz w:val="22"/>
          <w:szCs w:val="22"/>
          <w14:ligatures w14:val="standardContextual"/>
        </w:rPr>
        <w:t>sults</w:t>
      </w:r>
    </w:p>
    <w:p w14:paraId="617560F5" w14:textId="03722DF4" w:rsidR="009139FF" w:rsidRPr="00B674CF" w:rsidRDefault="0017103E" w:rsidP="00B674CF">
      <w:pPr>
        <w:pStyle w:val="ds-markdown-paragraph"/>
        <w:shd w:val="clear" w:color="auto" w:fill="FFFFFF"/>
        <w:spacing w:before="0" w:beforeAutospacing="0" w:after="0" w:afterAutospacing="0" w:line="360" w:lineRule="auto"/>
        <w:jc w:val="both"/>
        <w:rPr>
          <w:color w:val="171717" w:themeColor="background2" w:themeShade="1A"/>
          <w:sz w:val="22"/>
          <w:szCs w:val="22"/>
        </w:rPr>
      </w:pPr>
      <w:r w:rsidRPr="00B674CF">
        <w:rPr>
          <w:sz w:val="22"/>
          <w:szCs w:val="22"/>
        </w:rPr>
        <w:t>A total of 75 participants were included in the study, with a mean age of 36.8 years (SD = 16.5)</w:t>
      </w:r>
      <w:r w:rsidR="00180E34" w:rsidRPr="00B674CF">
        <w:rPr>
          <w:sz w:val="22"/>
          <w:szCs w:val="22"/>
        </w:rPr>
        <w:t xml:space="preserve">, </w:t>
      </w:r>
      <w:r w:rsidR="00A27C19" w:rsidRPr="00B674CF">
        <w:rPr>
          <w:sz w:val="22"/>
          <w:szCs w:val="22"/>
        </w:rPr>
        <w:t>and a</w:t>
      </w:r>
      <w:r w:rsidR="0092775E" w:rsidRPr="00B674CF">
        <w:rPr>
          <w:sz w:val="22"/>
          <w:szCs w:val="22"/>
        </w:rPr>
        <w:t xml:space="preserve"> </w:t>
      </w:r>
      <w:r w:rsidR="00180E34" w:rsidRPr="00B674CF">
        <w:rPr>
          <w:sz w:val="22"/>
          <w:szCs w:val="22"/>
        </w:rPr>
        <w:t xml:space="preserve">median </w:t>
      </w:r>
      <w:r w:rsidR="00A27C19" w:rsidRPr="00B674CF">
        <w:rPr>
          <w:sz w:val="22"/>
          <w:szCs w:val="22"/>
        </w:rPr>
        <w:t>of 35.0 years</w:t>
      </w:r>
      <w:r w:rsidR="0092775E" w:rsidRPr="00B674CF">
        <w:rPr>
          <w:sz w:val="22"/>
          <w:szCs w:val="22"/>
        </w:rPr>
        <w:t xml:space="preserve"> </w:t>
      </w:r>
      <w:r w:rsidR="00180E34" w:rsidRPr="00B674CF">
        <w:rPr>
          <w:sz w:val="22"/>
          <w:szCs w:val="22"/>
        </w:rPr>
        <w:t>(IQR</w:t>
      </w:r>
      <w:r w:rsidR="0092775E" w:rsidRPr="00B674CF">
        <w:rPr>
          <w:sz w:val="22"/>
          <w:szCs w:val="22"/>
        </w:rPr>
        <w:t xml:space="preserve"> </w:t>
      </w:r>
      <w:r w:rsidR="00180E34" w:rsidRPr="00B674CF">
        <w:rPr>
          <w:sz w:val="22"/>
          <w:szCs w:val="22"/>
        </w:rPr>
        <w:t>22.5–48.5</w:t>
      </w:r>
      <w:r w:rsidR="00180E34" w:rsidRPr="00B674CF">
        <w:rPr>
          <w:color w:val="171717" w:themeColor="background2" w:themeShade="1A"/>
          <w:sz w:val="22"/>
          <w:szCs w:val="22"/>
        </w:rPr>
        <w:t>)</w:t>
      </w:r>
      <w:r w:rsidRPr="00B674CF">
        <w:rPr>
          <w:color w:val="171717" w:themeColor="background2" w:themeShade="1A"/>
          <w:sz w:val="22"/>
          <w:szCs w:val="22"/>
        </w:rPr>
        <w:t>.</w:t>
      </w:r>
      <w:r w:rsidR="00A27C19" w:rsidRPr="00B674CF">
        <w:rPr>
          <w:color w:val="171717" w:themeColor="background2" w:themeShade="1A"/>
          <w:sz w:val="22"/>
          <w:szCs w:val="22"/>
        </w:rPr>
        <w:t xml:space="preserve"> Among the study cases, 70.7% were male (Figure 1)</w:t>
      </w:r>
    </w:p>
    <w:p w14:paraId="291FB563" w14:textId="6DD56BFD" w:rsidR="009139FF" w:rsidRPr="00B674CF" w:rsidRDefault="009139FF" w:rsidP="00B674CF">
      <w:pPr>
        <w:pStyle w:val="ds-markdown-paragraph"/>
        <w:shd w:val="clear" w:color="auto" w:fill="FFFFFF"/>
        <w:spacing w:before="0" w:beforeAutospacing="0" w:after="0" w:afterAutospacing="0" w:line="360" w:lineRule="auto"/>
        <w:jc w:val="both"/>
        <w:rPr>
          <w:sz w:val="22"/>
          <w:szCs w:val="22"/>
        </w:rPr>
      </w:pPr>
      <w:r w:rsidRPr="00B674CF">
        <w:rPr>
          <w:noProof/>
          <w:sz w:val="22"/>
          <w:szCs w:val="22"/>
          <w14:ligatures w14:val="standardContextual"/>
        </w:rPr>
        <w:drawing>
          <wp:inline distT="0" distB="0" distL="0" distR="0" wp14:anchorId="2F9CBBDA" wp14:editId="78331819">
            <wp:extent cx="2999232" cy="2201875"/>
            <wp:effectExtent l="0" t="0" r="10795" b="8255"/>
            <wp:docPr id="33518891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31994ECD" w14:textId="2C938A46" w:rsidR="00180E34" w:rsidRPr="00B674CF" w:rsidRDefault="00A27C19" w:rsidP="00B674CF">
      <w:pPr>
        <w:pStyle w:val="ds-markdown-paragraph"/>
        <w:shd w:val="clear" w:color="auto" w:fill="FFFFFF"/>
        <w:spacing w:before="0" w:beforeAutospacing="0" w:after="0" w:afterAutospacing="0" w:line="360" w:lineRule="auto"/>
        <w:jc w:val="both"/>
        <w:rPr>
          <w:b/>
          <w:color w:val="171717" w:themeColor="background2" w:themeShade="1A"/>
          <w:sz w:val="22"/>
          <w:szCs w:val="22"/>
        </w:rPr>
      </w:pPr>
      <w:r w:rsidRPr="00B674CF">
        <w:rPr>
          <w:b/>
          <w:color w:val="171717" w:themeColor="background2" w:themeShade="1A"/>
          <w:sz w:val="22"/>
          <w:szCs w:val="22"/>
        </w:rPr>
        <w:t>Figure 1. Gender based distribution of study cases</w:t>
      </w:r>
    </w:p>
    <w:p w14:paraId="643AE051" w14:textId="07D56ED3" w:rsidR="008F4427" w:rsidRDefault="0017103E" w:rsidP="00B674CF">
      <w:pPr>
        <w:pStyle w:val="ds-markdown-paragraph"/>
        <w:shd w:val="clear" w:color="auto" w:fill="FFFFFF"/>
        <w:spacing w:before="0" w:beforeAutospacing="0" w:after="0" w:afterAutospacing="0" w:line="360" w:lineRule="auto"/>
        <w:jc w:val="both"/>
        <w:rPr>
          <w:sz w:val="22"/>
          <w:szCs w:val="22"/>
        </w:rPr>
      </w:pPr>
      <w:r w:rsidRPr="00B674CF">
        <w:rPr>
          <w:sz w:val="22"/>
          <w:szCs w:val="22"/>
        </w:rPr>
        <w:t>Overall, 36 participants (48.0%) demonstrated elevated creatine phosphokinase (CPK) levels, while 39 (52.0%) had normal values. Electrolyte disturbances were not observed in any participant (0/75, 100%). Most participants reported mild muscle pain (n = 70, 93.3%), with a minority reporting moderate (n = 4, 5.3%) or severe pain (n = 1, 1.3%). Muscle weakness was documented in 18 participants (24.0%) and was absent in 57 (76.0%). Rhabdomyolysis was diagnosed in 8 participants (10.7%), while the remaining 67 (89.3%) did not meet diagnostic criteria.</w:t>
      </w:r>
      <w:r w:rsidR="00E10FF4" w:rsidRPr="00B674CF">
        <w:rPr>
          <w:sz w:val="22"/>
          <w:szCs w:val="22"/>
        </w:rPr>
        <w:t xml:space="preserve"> </w:t>
      </w:r>
      <w:r w:rsidRPr="00B674CF">
        <w:rPr>
          <w:sz w:val="22"/>
          <w:szCs w:val="22"/>
        </w:rPr>
        <w:t>Paracetamol (acetaminophen) was the sole analgesic prescribed, administered to all participants requiring pain management (n = 75, 100%).</w:t>
      </w:r>
      <w:r w:rsidR="00441EF8" w:rsidRPr="00B674CF">
        <w:rPr>
          <w:sz w:val="22"/>
          <w:szCs w:val="22"/>
        </w:rPr>
        <w:t xml:space="preserve"> Clinical characteristics are summarized in Table 2.</w:t>
      </w:r>
    </w:p>
    <w:p w14:paraId="5E62C0FD" w14:textId="0D928C5F" w:rsidR="00B674CF" w:rsidRPr="00B674CF" w:rsidRDefault="00B674CF" w:rsidP="00B674CF">
      <w:pPr>
        <w:pStyle w:val="ds-markdown-paragraph"/>
        <w:shd w:val="clear" w:color="auto" w:fill="FFFFFF"/>
        <w:spacing w:before="0" w:beforeAutospacing="0" w:after="0" w:afterAutospacing="0" w:line="360" w:lineRule="auto"/>
        <w:jc w:val="both"/>
        <w:rPr>
          <w:sz w:val="22"/>
          <w:szCs w:val="22"/>
        </w:rPr>
      </w:pPr>
      <w:r w:rsidRPr="00B674CF">
        <w:rPr>
          <w:sz w:val="22"/>
          <w:szCs w:val="22"/>
        </w:rPr>
        <w:t>Rhabdomyolysis occurred exclusively among participants with elevated CPK (22.2% vs. 0.0%). Fisher’s exact test confirmed a significant association (p = 0.0018; OR = 22.3, 95% CI 1.23–404.2). Muscle weakness was significantly more frequent in patients with elevated CPK (44.4% vs. 5.1%; χ² = 13.78, p &lt; 0.001; OR = 14.8, 95% CI 3.09–70.95). There was no association between CPK status and self-reported muscle pain (p = 0.968). Median CPK values were markedly higher among participants with rhabdomyolysis compared with those without (1155 vs. 130 U/L; Mann–Whitney U = 536.0, p &lt; 0.001). No significant difference in age was observed between participants with elevated versus normal CPK (p = 0.783).</w:t>
      </w:r>
    </w:p>
    <w:p w14:paraId="1134FA98" w14:textId="32745322" w:rsidR="00596439" w:rsidRPr="00B674CF" w:rsidRDefault="00596439" w:rsidP="00B674CF">
      <w:pPr>
        <w:pStyle w:val="ds-markdown-paragraph"/>
        <w:shd w:val="clear" w:color="auto" w:fill="FFFFFF"/>
        <w:spacing w:before="0" w:beforeAutospacing="0" w:after="0" w:afterAutospacing="0" w:line="360" w:lineRule="auto"/>
        <w:jc w:val="both"/>
        <w:rPr>
          <w:sz w:val="22"/>
          <w:szCs w:val="22"/>
        </w:rPr>
      </w:pPr>
      <w:r w:rsidRPr="00B674CF">
        <w:rPr>
          <w:b/>
          <w:bCs/>
          <w:sz w:val="22"/>
          <w:szCs w:val="22"/>
        </w:rPr>
        <w:lastRenderedPageBreak/>
        <w:t xml:space="preserve">Table </w:t>
      </w:r>
      <w:r w:rsidR="00F02838" w:rsidRPr="00B674CF">
        <w:rPr>
          <w:b/>
          <w:bCs/>
          <w:sz w:val="22"/>
          <w:szCs w:val="22"/>
        </w:rPr>
        <w:t>1</w:t>
      </w:r>
      <w:r w:rsidRPr="00B674CF">
        <w:rPr>
          <w:b/>
          <w:bCs/>
          <w:sz w:val="22"/>
          <w:szCs w:val="22"/>
        </w:rPr>
        <w:t>.</w:t>
      </w:r>
      <w:r w:rsidRPr="00B674CF">
        <w:rPr>
          <w:sz w:val="22"/>
          <w:szCs w:val="22"/>
        </w:rPr>
        <w:t xml:space="preserve"> </w:t>
      </w:r>
      <w:r w:rsidR="00F02838" w:rsidRPr="00B674CF">
        <w:rPr>
          <w:sz w:val="22"/>
          <w:szCs w:val="22"/>
        </w:rPr>
        <w:t>Baseline Demographic and clinical characteristics of the study cases</w:t>
      </w:r>
    </w:p>
    <w:tbl>
      <w:tblPr>
        <w:tblStyle w:val="TableGrid"/>
        <w:tblW w:w="8940" w:type="dxa"/>
        <w:tblLook w:val="04A0" w:firstRow="1" w:lastRow="0" w:firstColumn="1" w:lastColumn="0" w:noHBand="0" w:noVBand="1"/>
      </w:tblPr>
      <w:tblGrid>
        <w:gridCol w:w="2605"/>
        <w:gridCol w:w="11"/>
        <w:gridCol w:w="148"/>
        <w:gridCol w:w="4834"/>
        <w:gridCol w:w="1342"/>
      </w:tblGrid>
      <w:tr w:rsidR="00596439" w:rsidRPr="00B674CF" w14:paraId="0D03ED81" w14:textId="77777777" w:rsidTr="00596439">
        <w:trPr>
          <w:trHeight w:val="515"/>
        </w:trPr>
        <w:tc>
          <w:tcPr>
            <w:tcW w:w="0" w:type="auto"/>
            <w:gridSpan w:val="4"/>
            <w:hideMark/>
          </w:tcPr>
          <w:p w14:paraId="387E4281" w14:textId="77777777" w:rsidR="00596439" w:rsidRPr="00B674CF" w:rsidRDefault="00596439" w:rsidP="00B674CF">
            <w:pPr>
              <w:pStyle w:val="ds-markdown-paragraph"/>
              <w:shd w:val="clear" w:color="auto" w:fill="FFFFFF"/>
              <w:spacing w:before="0" w:beforeAutospacing="0" w:after="0" w:afterAutospacing="0" w:line="360" w:lineRule="auto"/>
              <w:jc w:val="both"/>
              <w:rPr>
                <w:b/>
                <w:bCs/>
                <w:sz w:val="22"/>
                <w:szCs w:val="22"/>
              </w:rPr>
            </w:pPr>
            <w:r w:rsidRPr="00B674CF">
              <w:rPr>
                <w:b/>
                <w:bCs/>
                <w:sz w:val="22"/>
                <w:szCs w:val="22"/>
              </w:rPr>
              <w:t>Variable</w:t>
            </w:r>
          </w:p>
        </w:tc>
        <w:tc>
          <w:tcPr>
            <w:tcW w:w="0" w:type="auto"/>
            <w:hideMark/>
          </w:tcPr>
          <w:p w14:paraId="5ECA2BEC" w14:textId="77777777" w:rsidR="00596439" w:rsidRPr="00B674CF" w:rsidRDefault="00596439" w:rsidP="00B674CF">
            <w:pPr>
              <w:pStyle w:val="ds-markdown-paragraph"/>
              <w:shd w:val="clear" w:color="auto" w:fill="FFFFFF"/>
              <w:spacing w:before="0" w:beforeAutospacing="0" w:after="0" w:afterAutospacing="0" w:line="360" w:lineRule="auto"/>
              <w:jc w:val="both"/>
              <w:rPr>
                <w:b/>
                <w:bCs/>
                <w:sz w:val="22"/>
                <w:szCs w:val="22"/>
              </w:rPr>
            </w:pPr>
            <w:r w:rsidRPr="00B674CF">
              <w:rPr>
                <w:b/>
                <w:bCs/>
                <w:sz w:val="22"/>
                <w:szCs w:val="22"/>
              </w:rPr>
              <w:t>n (%)</w:t>
            </w:r>
          </w:p>
        </w:tc>
      </w:tr>
      <w:tr w:rsidR="00F75C58" w:rsidRPr="00B674CF" w14:paraId="291BA409" w14:textId="77777777" w:rsidTr="00A614B7">
        <w:trPr>
          <w:trHeight w:val="258"/>
        </w:trPr>
        <w:tc>
          <w:tcPr>
            <w:tcW w:w="0" w:type="auto"/>
            <w:gridSpan w:val="3"/>
            <w:vMerge w:val="restart"/>
            <w:vAlign w:val="center"/>
          </w:tcPr>
          <w:p w14:paraId="3C40A69A" w14:textId="4BB1266F" w:rsidR="00F75C58" w:rsidRPr="00B674CF" w:rsidRDefault="00F75C58" w:rsidP="00B674CF">
            <w:pPr>
              <w:pStyle w:val="ds-markdown-paragraph"/>
              <w:shd w:val="clear" w:color="auto" w:fill="FFFFFF"/>
              <w:spacing w:before="0" w:beforeAutospacing="0" w:after="0" w:afterAutospacing="0" w:line="360" w:lineRule="auto"/>
              <w:rPr>
                <w:b/>
                <w:sz w:val="22"/>
                <w:szCs w:val="22"/>
              </w:rPr>
            </w:pPr>
            <w:r w:rsidRPr="00B674CF">
              <w:rPr>
                <w:b/>
                <w:sz w:val="22"/>
                <w:szCs w:val="22"/>
              </w:rPr>
              <w:t>Age groups</w:t>
            </w:r>
          </w:p>
        </w:tc>
        <w:tc>
          <w:tcPr>
            <w:tcW w:w="0" w:type="auto"/>
          </w:tcPr>
          <w:p w14:paraId="42738A54" w14:textId="5342097F" w:rsidR="00F75C58" w:rsidRPr="00B674CF" w:rsidRDefault="00F75C58" w:rsidP="00B674CF">
            <w:pPr>
              <w:pStyle w:val="ds-markdown-paragraph"/>
              <w:shd w:val="clear" w:color="auto" w:fill="FFFFFF"/>
              <w:spacing w:before="0" w:beforeAutospacing="0" w:after="0" w:afterAutospacing="0" w:line="360" w:lineRule="auto"/>
              <w:jc w:val="both"/>
              <w:rPr>
                <w:sz w:val="22"/>
                <w:szCs w:val="22"/>
              </w:rPr>
            </w:pPr>
            <w:r w:rsidRPr="00B674CF">
              <w:rPr>
                <w:sz w:val="22"/>
                <w:szCs w:val="22"/>
              </w:rPr>
              <w:t>&lt;18 Years</w:t>
            </w:r>
          </w:p>
        </w:tc>
        <w:tc>
          <w:tcPr>
            <w:tcW w:w="0" w:type="auto"/>
            <w:vAlign w:val="center"/>
          </w:tcPr>
          <w:p w14:paraId="658E8F48" w14:textId="7A34DDE1" w:rsidR="00F75C58" w:rsidRPr="00B674CF" w:rsidRDefault="009C710B"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11</w:t>
            </w:r>
            <w:r w:rsidR="00B674CF">
              <w:rPr>
                <w:sz w:val="22"/>
                <w:szCs w:val="22"/>
              </w:rPr>
              <w:t xml:space="preserve"> (14.7)</w:t>
            </w:r>
          </w:p>
        </w:tc>
      </w:tr>
      <w:tr w:rsidR="00F75C58" w:rsidRPr="00B674CF" w14:paraId="119A2747" w14:textId="77777777" w:rsidTr="00A614B7">
        <w:trPr>
          <w:trHeight w:val="208"/>
        </w:trPr>
        <w:tc>
          <w:tcPr>
            <w:tcW w:w="0" w:type="auto"/>
            <w:gridSpan w:val="3"/>
            <w:vMerge/>
            <w:vAlign w:val="center"/>
          </w:tcPr>
          <w:p w14:paraId="27F7B75B" w14:textId="77777777" w:rsidR="00F75C58" w:rsidRPr="00B674CF" w:rsidRDefault="00F75C58" w:rsidP="00B674CF">
            <w:pPr>
              <w:pStyle w:val="ds-markdown-paragraph"/>
              <w:shd w:val="clear" w:color="auto" w:fill="FFFFFF"/>
              <w:spacing w:before="0" w:beforeAutospacing="0" w:after="0" w:afterAutospacing="0" w:line="360" w:lineRule="auto"/>
              <w:rPr>
                <w:b/>
                <w:bCs/>
                <w:sz w:val="22"/>
                <w:szCs w:val="22"/>
              </w:rPr>
            </w:pPr>
          </w:p>
        </w:tc>
        <w:tc>
          <w:tcPr>
            <w:tcW w:w="0" w:type="auto"/>
          </w:tcPr>
          <w:p w14:paraId="6541DD4C" w14:textId="5FC7C0E7" w:rsidR="00F75C58" w:rsidRPr="00B674CF" w:rsidRDefault="00F75C58" w:rsidP="00B674CF">
            <w:pPr>
              <w:pStyle w:val="ds-markdown-paragraph"/>
              <w:shd w:val="clear" w:color="auto" w:fill="FFFFFF"/>
              <w:spacing w:before="0" w:beforeAutospacing="0" w:after="0" w:afterAutospacing="0" w:line="360" w:lineRule="auto"/>
              <w:jc w:val="both"/>
              <w:rPr>
                <w:sz w:val="22"/>
                <w:szCs w:val="22"/>
              </w:rPr>
            </w:pPr>
            <w:r w:rsidRPr="00B674CF">
              <w:rPr>
                <w:sz w:val="22"/>
                <w:szCs w:val="22"/>
              </w:rPr>
              <w:t>19 to 40 Years</w:t>
            </w:r>
          </w:p>
        </w:tc>
        <w:tc>
          <w:tcPr>
            <w:tcW w:w="0" w:type="auto"/>
            <w:vAlign w:val="center"/>
          </w:tcPr>
          <w:p w14:paraId="2AD39224" w14:textId="156810ED" w:rsidR="00F75C58" w:rsidRPr="00B674CF" w:rsidRDefault="009C710B"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34</w:t>
            </w:r>
            <w:r w:rsidR="00B674CF">
              <w:rPr>
                <w:sz w:val="22"/>
                <w:szCs w:val="22"/>
              </w:rPr>
              <w:t xml:space="preserve"> (45.3)</w:t>
            </w:r>
          </w:p>
        </w:tc>
      </w:tr>
      <w:tr w:rsidR="00F75C58" w:rsidRPr="00B674CF" w14:paraId="43A7DEA6" w14:textId="77777777" w:rsidTr="00A614B7">
        <w:trPr>
          <w:trHeight w:val="207"/>
        </w:trPr>
        <w:tc>
          <w:tcPr>
            <w:tcW w:w="0" w:type="auto"/>
            <w:gridSpan w:val="3"/>
            <w:vMerge/>
            <w:vAlign w:val="center"/>
          </w:tcPr>
          <w:p w14:paraId="37449DA2" w14:textId="77777777" w:rsidR="00F75C58" w:rsidRPr="00B674CF" w:rsidRDefault="00F75C58" w:rsidP="00B674CF">
            <w:pPr>
              <w:pStyle w:val="ds-markdown-paragraph"/>
              <w:shd w:val="clear" w:color="auto" w:fill="FFFFFF"/>
              <w:spacing w:before="0" w:beforeAutospacing="0" w:after="0" w:afterAutospacing="0" w:line="360" w:lineRule="auto"/>
              <w:rPr>
                <w:b/>
                <w:bCs/>
                <w:sz w:val="22"/>
                <w:szCs w:val="22"/>
              </w:rPr>
            </w:pPr>
          </w:p>
        </w:tc>
        <w:tc>
          <w:tcPr>
            <w:tcW w:w="0" w:type="auto"/>
          </w:tcPr>
          <w:p w14:paraId="5E601336" w14:textId="286E452B" w:rsidR="00F75C58" w:rsidRPr="00B674CF" w:rsidRDefault="00F75C58" w:rsidP="00B674CF">
            <w:pPr>
              <w:pStyle w:val="ds-markdown-paragraph"/>
              <w:shd w:val="clear" w:color="auto" w:fill="FFFFFF"/>
              <w:spacing w:before="0" w:beforeAutospacing="0" w:after="0" w:afterAutospacing="0" w:line="360" w:lineRule="auto"/>
              <w:jc w:val="both"/>
              <w:rPr>
                <w:sz w:val="22"/>
                <w:szCs w:val="22"/>
              </w:rPr>
            </w:pPr>
            <w:r w:rsidRPr="00B674CF">
              <w:rPr>
                <w:sz w:val="22"/>
                <w:szCs w:val="22"/>
              </w:rPr>
              <w:t>&gt;40 Years</w:t>
            </w:r>
          </w:p>
        </w:tc>
        <w:tc>
          <w:tcPr>
            <w:tcW w:w="0" w:type="auto"/>
            <w:vAlign w:val="center"/>
          </w:tcPr>
          <w:p w14:paraId="26CDE3C6" w14:textId="7CC9CB67" w:rsidR="00F75C58" w:rsidRPr="00B674CF" w:rsidRDefault="009C710B"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30</w:t>
            </w:r>
            <w:r w:rsidR="00B674CF">
              <w:rPr>
                <w:sz w:val="22"/>
                <w:szCs w:val="22"/>
              </w:rPr>
              <w:t xml:space="preserve"> (40.0)</w:t>
            </w:r>
          </w:p>
        </w:tc>
      </w:tr>
      <w:tr w:rsidR="00F02838" w:rsidRPr="00B674CF" w14:paraId="0E98C9F0" w14:textId="77777777" w:rsidTr="00A614B7">
        <w:trPr>
          <w:trHeight w:val="258"/>
        </w:trPr>
        <w:tc>
          <w:tcPr>
            <w:tcW w:w="0" w:type="auto"/>
            <w:gridSpan w:val="3"/>
            <w:vMerge w:val="restart"/>
            <w:vAlign w:val="center"/>
          </w:tcPr>
          <w:p w14:paraId="52D7F752" w14:textId="23011A64" w:rsidR="00F02838" w:rsidRPr="00B674CF" w:rsidRDefault="00F02838" w:rsidP="00B674CF">
            <w:pPr>
              <w:pStyle w:val="ds-markdown-paragraph"/>
              <w:shd w:val="clear" w:color="auto" w:fill="FFFFFF"/>
              <w:spacing w:before="0" w:beforeAutospacing="0" w:after="0" w:afterAutospacing="0" w:line="360" w:lineRule="auto"/>
              <w:rPr>
                <w:b/>
                <w:sz w:val="22"/>
                <w:szCs w:val="22"/>
              </w:rPr>
            </w:pPr>
            <w:r w:rsidRPr="00B674CF">
              <w:rPr>
                <w:b/>
                <w:sz w:val="22"/>
                <w:szCs w:val="22"/>
              </w:rPr>
              <w:t>Gender</w:t>
            </w:r>
          </w:p>
        </w:tc>
        <w:tc>
          <w:tcPr>
            <w:tcW w:w="0" w:type="auto"/>
          </w:tcPr>
          <w:p w14:paraId="64102E11" w14:textId="40841B8F" w:rsidR="00F02838" w:rsidRPr="00B674CF" w:rsidRDefault="00F02838" w:rsidP="00B674CF">
            <w:pPr>
              <w:pStyle w:val="ds-markdown-paragraph"/>
              <w:shd w:val="clear" w:color="auto" w:fill="FFFFFF"/>
              <w:spacing w:before="0" w:beforeAutospacing="0" w:after="0" w:afterAutospacing="0" w:line="360" w:lineRule="auto"/>
              <w:jc w:val="both"/>
              <w:rPr>
                <w:sz w:val="22"/>
                <w:szCs w:val="22"/>
              </w:rPr>
            </w:pPr>
            <w:r w:rsidRPr="00B674CF">
              <w:rPr>
                <w:sz w:val="22"/>
                <w:szCs w:val="22"/>
              </w:rPr>
              <w:t>Male</w:t>
            </w:r>
          </w:p>
        </w:tc>
        <w:tc>
          <w:tcPr>
            <w:tcW w:w="0" w:type="auto"/>
            <w:vAlign w:val="center"/>
          </w:tcPr>
          <w:p w14:paraId="5BC423A8" w14:textId="3DAC23CB" w:rsidR="00F02838" w:rsidRPr="00B674CF" w:rsidRDefault="00F75C58"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53 (70.7)</w:t>
            </w:r>
          </w:p>
        </w:tc>
      </w:tr>
      <w:tr w:rsidR="00F02838" w:rsidRPr="00B674CF" w14:paraId="21DF321D" w14:textId="77777777" w:rsidTr="00A614B7">
        <w:trPr>
          <w:trHeight w:val="257"/>
        </w:trPr>
        <w:tc>
          <w:tcPr>
            <w:tcW w:w="0" w:type="auto"/>
            <w:gridSpan w:val="3"/>
            <w:vMerge/>
          </w:tcPr>
          <w:p w14:paraId="2C5D7AB3" w14:textId="77777777" w:rsidR="00F02838" w:rsidRPr="00B674CF" w:rsidRDefault="00F02838" w:rsidP="00B674CF">
            <w:pPr>
              <w:pStyle w:val="ds-markdown-paragraph"/>
              <w:shd w:val="clear" w:color="auto" w:fill="FFFFFF"/>
              <w:spacing w:before="0" w:beforeAutospacing="0" w:after="0" w:afterAutospacing="0" w:line="360" w:lineRule="auto"/>
              <w:jc w:val="both"/>
              <w:rPr>
                <w:b/>
                <w:bCs/>
                <w:sz w:val="22"/>
                <w:szCs w:val="22"/>
              </w:rPr>
            </w:pPr>
          </w:p>
        </w:tc>
        <w:tc>
          <w:tcPr>
            <w:tcW w:w="0" w:type="auto"/>
          </w:tcPr>
          <w:p w14:paraId="1938F760" w14:textId="51F2B48B" w:rsidR="00F02838" w:rsidRPr="00B674CF" w:rsidRDefault="00F02838" w:rsidP="00B674CF">
            <w:pPr>
              <w:pStyle w:val="ds-markdown-paragraph"/>
              <w:shd w:val="clear" w:color="auto" w:fill="FFFFFF"/>
              <w:spacing w:before="0" w:beforeAutospacing="0" w:after="0" w:afterAutospacing="0" w:line="360" w:lineRule="auto"/>
              <w:jc w:val="both"/>
              <w:rPr>
                <w:sz w:val="22"/>
                <w:szCs w:val="22"/>
              </w:rPr>
            </w:pPr>
            <w:r w:rsidRPr="00B674CF">
              <w:rPr>
                <w:sz w:val="22"/>
                <w:szCs w:val="22"/>
              </w:rPr>
              <w:t>Female</w:t>
            </w:r>
          </w:p>
        </w:tc>
        <w:tc>
          <w:tcPr>
            <w:tcW w:w="0" w:type="auto"/>
            <w:vAlign w:val="center"/>
          </w:tcPr>
          <w:p w14:paraId="3976E941" w14:textId="2049F6E8" w:rsidR="00F02838" w:rsidRPr="00B674CF" w:rsidRDefault="00F75C58"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22(29.3)</w:t>
            </w:r>
          </w:p>
        </w:tc>
      </w:tr>
      <w:tr w:rsidR="00596439" w:rsidRPr="00B674CF" w14:paraId="47442285" w14:textId="77777777" w:rsidTr="00A614B7">
        <w:trPr>
          <w:trHeight w:val="515"/>
        </w:trPr>
        <w:tc>
          <w:tcPr>
            <w:tcW w:w="0" w:type="auto"/>
            <w:gridSpan w:val="4"/>
            <w:vAlign w:val="center"/>
            <w:hideMark/>
          </w:tcPr>
          <w:p w14:paraId="6ABB2F80" w14:textId="77777777" w:rsidR="00596439" w:rsidRPr="00A614B7" w:rsidRDefault="00596439" w:rsidP="00A614B7">
            <w:pPr>
              <w:pStyle w:val="ds-markdown-paragraph"/>
              <w:shd w:val="clear" w:color="auto" w:fill="FFFFFF"/>
              <w:spacing w:before="0" w:beforeAutospacing="0" w:after="0" w:afterAutospacing="0" w:line="360" w:lineRule="auto"/>
              <w:rPr>
                <w:b/>
                <w:sz w:val="22"/>
                <w:szCs w:val="22"/>
              </w:rPr>
            </w:pPr>
            <w:r w:rsidRPr="00A614B7">
              <w:rPr>
                <w:b/>
                <w:sz w:val="22"/>
                <w:szCs w:val="22"/>
              </w:rPr>
              <w:t>Elevated CPK</w:t>
            </w:r>
          </w:p>
        </w:tc>
        <w:tc>
          <w:tcPr>
            <w:tcW w:w="0" w:type="auto"/>
            <w:vAlign w:val="center"/>
            <w:hideMark/>
          </w:tcPr>
          <w:p w14:paraId="2A1A1FD6" w14:textId="77777777" w:rsidR="00596439" w:rsidRPr="00B674CF" w:rsidRDefault="00596439"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36 (48.0)</w:t>
            </w:r>
          </w:p>
        </w:tc>
      </w:tr>
      <w:tr w:rsidR="00596439" w:rsidRPr="00B674CF" w14:paraId="4CB71BDD" w14:textId="77777777" w:rsidTr="00A614B7">
        <w:trPr>
          <w:trHeight w:val="509"/>
        </w:trPr>
        <w:tc>
          <w:tcPr>
            <w:tcW w:w="0" w:type="auto"/>
            <w:gridSpan w:val="4"/>
            <w:vAlign w:val="center"/>
            <w:hideMark/>
          </w:tcPr>
          <w:p w14:paraId="1BED10A0" w14:textId="77777777" w:rsidR="00596439" w:rsidRPr="00A614B7" w:rsidRDefault="00596439" w:rsidP="00A614B7">
            <w:pPr>
              <w:pStyle w:val="ds-markdown-paragraph"/>
              <w:shd w:val="clear" w:color="auto" w:fill="FFFFFF"/>
              <w:spacing w:before="0" w:beforeAutospacing="0" w:after="0" w:afterAutospacing="0" w:line="360" w:lineRule="auto"/>
              <w:rPr>
                <w:b/>
                <w:sz w:val="22"/>
                <w:szCs w:val="22"/>
              </w:rPr>
            </w:pPr>
            <w:r w:rsidRPr="00A614B7">
              <w:rPr>
                <w:b/>
                <w:sz w:val="22"/>
                <w:szCs w:val="22"/>
              </w:rPr>
              <w:t>Normal CPK</w:t>
            </w:r>
          </w:p>
        </w:tc>
        <w:tc>
          <w:tcPr>
            <w:tcW w:w="0" w:type="auto"/>
            <w:vAlign w:val="center"/>
            <w:hideMark/>
          </w:tcPr>
          <w:p w14:paraId="70A38876" w14:textId="77777777" w:rsidR="00596439" w:rsidRPr="00B674CF" w:rsidRDefault="00596439"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39 (52.0)</w:t>
            </w:r>
          </w:p>
        </w:tc>
      </w:tr>
      <w:tr w:rsidR="00596439" w:rsidRPr="00B674CF" w14:paraId="7CF735D1" w14:textId="77777777" w:rsidTr="00A614B7">
        <w:trPr>
          <w:trHeight w:val="239"/>
        </w:trPr>
        <w:tc>
          <w:tcPr>
            <w:tcW w:w="2616" w:type="dxa"/>
            <w:gridSpan w:val="2"/>
            <w:vMerge w:val="restart"/>
            <w:vAlign w:val="center"/>
            <w:hideMark/>
          </w:tcPr>
          <w:p w14:paraId="27B4D703" w14:textId="0A88B343" w:rsidR="00596439" w:rsidRPr="00A614B7" w:rsidRDefault="008F4427" w:rsidP="00A614B7">
            <w:pPr>
              <w:pStyle w:val="ds-markdown-paragraph"/>
              <w:shd w:val="clear" w:color="auto" w:fill="FFFFFF"/>
              <w:spacing w:before="0" w:beforeAutospacing="0" w:after="0" w:afterAutospacing="0" w:line="360" w:lineRule="auto"/>
              <w:rPr>
                <w:b/>
                <w:sz w:val="22"/>
                <w:szCs w:val="22"/>
              </w:rPr>
            </w:pPr>
            <w:r w:rsidRPr="00A614B7">
              <w:rPr>
                <w:b/>
                <w:sz w:val="22"/>
                <w:szCs w:val="22"/>
              </w:rPr>
              <w:t>Rhabdomyolysis</w:t>
            </w:r>
          </w:p>
        </w:tc>
        <w:tc>
          <w:tcPr>
            <w:tcW w:w="4982" w:type="dxa"/>
            <w:gridSpan w:val="2"/>
          </w:tcPr>
          <w:p w14:paraId="4C0BADF8" w14:textId="59DB6B5D" w:rsidR="00596439" w:rsidRPr="00B674CF" w:rsidRDefault="00596439" w:rsidP="00B674CF">
            <w:pPr>
              <w:pStyle w:val="ds-markdown-paragraph"/>
              <w:shd w:val="clear" w:color="auto" w:fill="FFFFFF"/>
              <w:spacing w:before="0" w:beforeAutospacing="0" w:after="0" w:afterAutospacing="0" w:line="360" w:lineRule="auto"/>
              <w:jc w:val="both"/>
              <w:rPr>
                <w:sz w:val="22"/>
                <w:szCs w:val="22"/>
              </w:rPr>
            </w:pPr>
            <w:r w:rsidRPr="00B674CF">
              <w:rPr>
                <w:sz w:val="22"/>
                <w:szCs w:val="22"/>
              </w:rPr>
              <w:t>Yes</w:t>
            </w:r>
          </w:p>
        </w:tc>
        <w:tc>
          <w:tcPr>
            <w:tcW w:w="0" w:type="auto"/>
            <w:vAlign w:val="center"/>
            <w:hideMark/>
          </w:tcPr>
          <w:p w14:paraId="5FA94CE1" w14:textId="2136BD5F" w:rsidR="00596439" w:rsidRPr="00B674CF" w:rsidRDefault="00596439"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8 (10.7)</w:t>
            </w:r>
          </w:p>
        </w:tc>
      </w:tr>
      <w:tr w:rsidR="00596439" w:rsidRPr="00B674CF" w14:paraId="0F05F5B0" w14:textId="77777777" w:rsidTr="00A614B7">
        <w:trPr>
          <w:trHeight w:val="264"/>
        </w:trPr>
        <w:tc>
          <w:tcPr>
            <w:tcW w:w="2616" w:type="dxa"/>
            <w:gridSpan w:val="2"/>
            <w:vMerge/>
            <w:vAlign w:val="center"/>
          </w:tcPr>
          <w:p w14:paraId="3EB2047B" w14:textId="77777777" w:rsidR="00596439" w:rsidRPr="00A614B7" w:rsidRDefault="00596439" w:rsidP="00A614B7">
            <w:pPr>
              <w:pStyle w:val="ds-markdown-paragraph"/>
              <w:shd w:val="clear" w:color="auto" w:fill="FFFFFF"/>
              <w:spacing w:before="0" w:beforeAutospacing="0" w:after="0" w:afterAutospacing="0" w:line="360" w:lineRule="auto"/>
              <w:rPr>
                <w:b/>
                <w:sz w:val="22"/>
                <w:szCs w:val="22"/>
              </w:rPr>
            </w:pPr>
          </w:p>
        </w:tc>
        <w:tc>
          <w:tcPr>
            <w:tcW w:w="4982" w:type="dxa"/>
            <w:gridSpan w:val="2"/>
          </w:tcPr>
          <w:p w14:paraId="4E62A6DE" w14:textId="182EFE50" w:rsidR="00596439" w:rsidRPr="00B674CF" w:rsidRDefault="00596439" w:rsidP="00B674CF">
            <w:pPr>
              <w:pStyle w:val="ds-markdown-paragraph"/>
              <w:shd w:val="clear" w:color="auto" w:fill="FFFFFF"/>
              <w:spacing w:before="0" w:beforeAutospacing="0" w:after="0" w:afterAutospacing="0" w:line="360" w:lineRule="auto"/>
              <w:jc w:val="both"/>
              <w:rPr>
                <w:sz w:val="22"/>
                <w:szCs w:val="22"/>
              </w:rPr>
            </w:pPr>
            <w:r w:rsidRPr="00B674CF">
              <w:rPr>
                <w:sz w:val="22"/>
                <w:szCs w:val="22"/>
              </w:rPr>
              <w:t>No</w:t>
            </w:r>
          </w:p>
        </w:tc>
        <w:tc>
          <w:tcPr>
            <w:tcW w:w="0" w:type="auto"/>
            <w:vAlign w:val="center"/>
          </w:tcPr>
          <w:p w14:paraId="39A877BA" w14:textId="5D76588A" w:rsidR="00596439" w:rsidRPr="00B674CF" w:rsidRDefault="00596439"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67 (89.3)</w:t>
            </w:r>
          </w:p>
        </w:tc>
      </w:tr>
      <w:tr w:rsidR="00596439" w:rsidRPr="00B674CF" w14:paraId="35CD4CB1" w14:textId="77777777" w:rsidTr="00A614B7">
        <w:trPr>
          <w:trHeight w:val="413"/>
        </w:trPr>
        <w:tc>
          <w:tcPr>
            <w:tcW w:w="2605" w:type="dxa"/>
            <w:vMerge w:val="restart"/>
            <w:vAlign w:val="center"/>
            <w:hideMark/>
          </w:tcPr>
          <w:p w14:paraId="4F139B1D" w14:textId="57BCA806" w:rsidR="00596439" w:rsidRPr="00A614B7" w:rsidRDefault="00596439" w:rsidP="00A614B7">
            <w:pPr>
              <w:pStyle w:val="ds-markdown-paragraph"/>
              <w:shd w:val="clear" w:color="auto" w:fill="FFFFFF"/>
              <w:spacing w:before="0" w:beforeAutospacing="0" w:after="0" w:afterAutospacing="0" w:line="360" w:lineRule="auto"/>
              <w:rPr>
                <w:b/>
                <w:sz w:val="22"/>
                <w:szCs w:val="22"/>
              </w:rPr>
            </w:pPr>
            <w:r w:rsidRPr="00A614B7">
              <w:rPr>
                <w:b/>
                <w:sz w:val="22"/>
                <w:szCs w:val="22"/>
              </w:rPr>
              <w:t xml:space="preserve">Muscle weakness </w:t>
            </w:r>
          </w:p>
        </w:tc>
        <w:tc>
          <w:tcPr>
            <w:tcW w:w="4993" w:type="dxa"/>
            <w:gridSpan w:val="3"/>
          </w:tcPr>
          <w:p w14:paraId="66A0F74E" w14:textId="4B722E25" w:rsidR="00596439" w:rsidRPr="00B674CF" w:rsidRDefault="00596439" w:rsidP="00B674CF">
            <w:pPr>
              <w:pStyle w:val="ds-markdown-paragraph"/>
              <w:shd w:val="clear" w:color="auto" w:fill="FFFFFF"/>
              <w:spacing w:before="0" w:beforeAutospacing="0" w:after="0" w:afterAutospacing="0" w:line="360" w:lineRule="auto"/>
              <w:jc w:val="both"/>
              <w:rPr>
                <w:sz w:val="22"/>
                <w:szCs w:val="22"/>
              </w:rPr>
            </w:pPr>
            <w:r w:rsidRPr="00B674CF">
              <w:rPr>
                <w:sz w:val="22"/>
                <w:szCs w:val="22"/>
              </w:rPr>
              <w:t>Yes</w:t>
            </w:r>
          </w:p>
        </w:tc>
        <w:tc>
          <w:tcPr>
            <w:tcW w:w="0" w:type="auto"/>
            <w:vAlign w:val="center"/>
            <w:hideMark/>
          </w:tcPr>
          <w:p w14:paraId="3E3296BB" w14:textId="50D7172D" w:rsidR="00596439" w:rsidRPr="00B674CF" w:rsidRDefault="00596439"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18 (24.0)</w:t>
            </w:r>
          </w:p>
        </w:tc>
      </w:tr>
      <w:tr w:rsidR="00596439" w:rsidRPr="00B674CF" w14:paraId="23A43B81" w14:textId="77777777" w:rsidTr="00A614B7">
        <w:trPr>
          <w:trHeight w:val="431"/>
        </w:trPr>
        <w:tc>
          <w:tcPr>
            <w:tcW w:w="2605" w:type="dxa"/>
            <w:vMerge/>
          </w:tcPr>
          <w:p w14:paraId="008CD02C" w14:textId="77777777" w:rsidR="00596439" w:rsidRPr="00B674CF" w:rsidRDefault="00596439" w:rsidP="00B674CF">
            <w:pPr>
              <w:pStyle w:val="ds-markdown-paragraph"/>
              <w:shd w:val="clear" w:color="auto" w:fill="FFFFFF"/>
              <w:spacing w:before="0" w:beforeAutospacing="0" w:after="0" w:afterAutospacing="0" w:line="360" w:lineRule="auto"/>
              <w:jc w:val="both"/>
              <w:rPr>
                <w:sz w:val="22"/>
                <w:szCs w:val="22"/>
              </w:rPr>
            </w:pPr>
          </w:p>
        </w:tc>
        <w:tc>
          <w:tcPr>
            <w:tcW w:w="4993" w:type="dxa"/>
            <w:gridSpan w:val="3"/>
          </w:tcPr>
          <w:p w14:paraId="351AEAE5" w14:textId="3287B343" w:rsidR="00596439" w:rsidRPr="00B674CF" w:rsidRDefault="00596439" w:rsidP="00B674CF">
            <w:pPr>
              <w:pStyle w:val="ds-markdown-paragraph"/>
              <w:shd w:val="clear" w:color="auto" w:fill="FFFFFF"/>
              <w:spacing w:before="0" w:beforeAutospacing="0" w:after="0" w:afterAutospacing="0" w:line="360" w:lineRule="auto"/>
              <w:jc w:val="both"/>
              <w:rPr>
                <w:sz w:val="22"/>
                <w:szCs w:val="22"/>
              </w:rPr>
            </w:pPr>
            <w:r w:rsidRPr="00B674CF">
              <w:rPr>
                <w:sz w:val="22"/>
                <w:szCs w:val="22"/>
              </w:rPr>
              <w:t>No</w:t>
            </w:r>
          </w:p>
        </w:tc>
        <w:tc>
          <w:tcPr>
            <w:tcW w:w="0" w:type="auto"/>
            <w:vAlign w:val="center"/>
          </w:tcPr>
          <w:p w14:paraId="64B234E6" w14:textId="5360EA48" w:rsidR="00596439" w:rsidRPr="00B674CF" w:rsidRDefault="00596439"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57 (76.0)</w:t>
            </w:r>
          </w:p>
        </w:tc>
      </w:tr>
      <w:tr w:rsidR="00596439" w:rsidRPr="00B674CF" w14:paraId="2A77CD50" w14:textId="77777777" w:rsidTr="00A614B7">
        <w:trPr>
          <w:trHeight w:val="509"/>
        </w:trPr>
        <w:tc>
          <w:tcPr>
            <w:tcW w:w="0" w:type="auto"/>
            <w:gridSpan w:val="4"/>
            <w:vAlign w:val="center"/>
            <w:hideMark/>
          </w:tcPr>
          <w:p w14:paraId="7238B736" w14:textId="77777777" w:rsidR="00596439" w:rsidRPr="00A614B7" w:rsidRDefault="00596439" w:rsidP="00A614B7">
            <w:pPr>
              <w:pStyle w:val="ds-markdown-paragraph"/>
              <w:shd w:val="clear" w:color="auto" w:fill="FFFFFF"/>
              <w:spacing w:before="0" w:beforeAutospacing="0" w:after="0" w:afterAutospacing="0" w:line="360" w:lineRule="auto"/>
              <w:rPr>
                <w:b/>
                <w:sz w:val="22"/>
                <w:szCs w:val="22"/>
              </w:rPr>
            </w:pPr>
            <w:r w:rsidRPr="00A614B7">
              <w:rPr>
                <w:b/>
                <w:sz w:val="22"/>
                <w:szCs w:val="22"/>
              </w:rPr>
              <w:t>Electrolyte imbalance — Yes</w:t>
            </w:r>
          </w:p>
        </w:tc>
        <w:tc>
          <w:tcPr>
            <w:tcW w:w="0" w:type="auto"/>
            <w:vAlign w:val="center"/>
            <w:hideMark/>
          </w:tcPr>
          <w:p w14:paraId="04D996B8" w14:textId="77777777" w:rsidR="00596439" w:rsidRPr="00B674CF" w:rsidRDefault="00596439"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0 (0.0)</w:t>
            </w:r>
          </w:p>
        </w:tc>
      </w:tr>
      <w:tr w:rsidR="00596439" w:rsidRPr="00B674CF" w14:paraId="6F3FB988" w14:textId="77777777" w:rsidTr="00A614B7">
        <w:trPr>
          <w:trHeight w:val="168"/>
        </w:trPr>
        <w:tc>
          <w:tcPr>
            <w:tcW w:w="2764" w:type="dxa"/>
            <w:gridSpan w:val="3"/>
            <w:vMerge w:val="restart"/>
            <w:vAlign w:val="center"/>
            <w:hideMark/>
          </w:tcPr>
          <w:p w14:paraId="510C3FF1" w14:textId="77777777" w:rsidR="00596439" w:rsidRPr="00A614B7" w:rsidRDefault="00596439" w:rsidP="00A614B7">
            <w:pPr>
              <w:pStyle w:val="ds-markdown-paragraph"/>
              <w:shd w:val="clear" w:color="auto" w:fill="FFFFFF"/>
              <w:spacing w:before="0" w:beforeAutospacing="0" w:after="0" w:afterAutospacing="0" w:line="360" w:lineRule="auto"/>
              <w:rPr>
                <w:b/>
                <w:sz w:val="22"/>
                <w:szCs w:val="22"/>
              </w:rPr>
            </w:pPr>
            <w:r w:rsidRPr="00A614B7">
              <w:rPr>
                <w:b/>
                <w:sz w:val="22"/>
                <w:szCs w:val="22"/>
              </w:rPr>
              <w:t>Muscle pain — Mild</w:t>
            </w:r>
          </w:p>
        </w:tc>
        <w:tc>
          <w:tcPr>
            <w:tcW w:w="4834" w:type="dxa"/>
          </w:tcPr>
          <w:p w14:paraId="2B2A6665" w14:textId="4E60843B" w:rsidR="00596439" w:rsidRPr="00B674CF" w:rsidRDefault="00596439" w:rsidP="00B674CF">
            <w:pPr>
              <w:pStyle w:val="ds-markdown-paragraph"/>
              <w:shd w:val="clear" w:color="auto" w:fill="FFFFFF"/>
              <w:spacing w:before="0" w:beforeAutospacing="0" w:after="0" w:afterAutospacing="0" w:line="360" w:lineRule="auto"/>
              <w:jc w:val="both"/>
              <w:rPr>
                <w:sz w:val="22"/>
                <w:szCs w:val="22"/>
              </w:rPr>
            </w:pPr>
            <w:r w:rsidRPr="00B674CF">
              <w:rPr>
                <w:sz w:val="22"/>
                <w:szCs w:val="22"/>
              </w:rPr>
              <w:t>Mild</w:t>
            </w:r>
          </w:p>
        </w:tc>
        <w:tc>
          <w:tcPr>
            <w:tcW w:w="0" w:type="auto"/>
            <w:vAlign w:val="center"/>
            <w:hideMark/>
          </w:tcPr>
          <w:p w14:paraId="5DFDDE22" w14:textId="3DFCED5A" w:rsidR="00596439" w:rsidRPr="00B674CF" w:rsidRDefault="00596439"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70 (93.3)</w:t>
            </w:r>
          </w:p>
        </w:tc>
      </w:tr>
      <w:tr w:rsidR="00596439" w:rsidRPr="00B674CF" w14:paraId="0B81DE9C" w14:textId="77777777" w:rsidTr="00A614B7">
        <w:trPr>
          <w:trHeight w:val="240"/>
        </w:trPr>
        <w:tc>
          <w:tcPr>
            <w:tcW w:w="2764" w:type="dxa"/>
            <w:gridSpan w:val="3"/>
            <w:vMerge/>
          </w:tcPr>
          <w:p w14:paraId="44A400DD" w14:textId="77777777" w:rsidR="00596439" w:rsidRPr="00B674CF" w:rsidRDefault="00596439" w:rsidP="00B674CF">
            <w:pPr>
              <w:pStyle w:val="ds-markdown-paragraph"/>
              <w:shd w:val="clear" w:color="auto" w:fill="FFFFFF"/>
              <w:spacing w:before="0" w:beforeAutospacing="0" w:after="0" w:afterAutospacing="0" w:line="360" w:lineRule="auto"/>
              <w:jc w:val="both"/>
              <w:rPr>
                <w:sz w:val="22"/>
                <w:szCs w:val="22"/>
              </w:rPr>
            </w:pPr>
          </w:p>
        </w:tc>
        <w:tc>
          <w:tcPr>
            <w:tcW w:w="4834" w:type="dxa"/>
          </w:tcPr>
          <w:p w14:paraId="62C1F0DB" w14:textId="42700740" w:rsidR="00596439" w:rsidRPr="00B674CF" w:rsidRDefault="00596439" w:rsidP="00B674CF">
            <w:pPr>
              <w:pStyle w:val="ds-markdown-paragraph"/>
              <w:shd w:val="clear" w:color="auto" w:fill="FFFFFF"/>
              <w:spacing w:before="0" w:beforeAutospacing="0" w:after="0" w:afterAutospacing="0" w:line="360" w:lineRule="auto"/>
              <w:jc w:val="both"/>
              <w:rPr>
                <w:sz w:val="22"/>
                <w:szCs w:val="22"/>
              </w:rPr>
            </w:pPr>
            <w:r w:rsidRPr="00B674CF">
              <w:rPr>
                <w:sz w:val="22"/>
                <w:szCs w:val="22"/>
              </w:rPr>
              <w:t>Moderate</w:t>
            </w:r>
          </w:p>
        </w:tc>
        <w:tc>
          <w:tcPr>
            <w:tcW w:w="0" w:type="auto"/>
            <w:vAlign w:val="center"/>
          </w:tcPr>
          <w:p w14:paraId="4541E1D7" w14:textId="7F253939" w:rsidR="00596439" w:rsidRPr="00B674CF" w:rsidRDefault="00596439"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4 (5.3)</w:t>
            </w:r>
          </w:p>
        </w:tc>
      </w:tr>
      <w:tr w:rsidR="00596439" w:rsidRPr="00B674CF" w14:paraId="4FF3B0A5" w14:textId="77777777" w:rsidTr="00A614B7">
        <w:trPr>
          <w:trHeight w:val="264"/>
        </w:trPr>
        <w:tc>
          <w:tcPr>
            <w:tcW w:w="2764" w:type="dxa"/>
            <w:gridSpan w:val="3"/>
            <w:vMerge/>
          </w:tcPr>
          <w:p w14:paraId="53E0A9C8" w14:textId="77777777" w:rsidR="00596439" w:rsidRPr="00B674CF" w:rsidRDefault="00596439" w:rsidP="00B674CF">
            <w:pPr>
              <w:pStyle w:val="ds-markdown-paragraph"/>
              <w:shd w:val="clear" w:color="auto" w:fill="FFFFFF"/>
              <w:spacing w:before="0" w:beforeAutospacing="0" w:after="0" w:afterAutospacing="0" w:line="360" w:lineRule="auto"/>
              <w:jc w:val="both"/>
              <w:rPr>
                <w:sz w:val="22"/>
                <w:szCs w:val="22"/>
              </w:rPr>
            </w:pPr>
          </w:p>
        </w:tc>
        <w:tc>
          <w:tcPr>
            <w:tcW w:w="4834" w:type="dxa"/>
          </w:tcPr>
          <w:p w14:paraId="6CDE3206" w14:textId="3CC8AF01" w:rsidR="00596439" w:rsidRPr="00B674CF" w:rsidRDefault="00596439" w:rsidP="00B674CF">
            <w:pPr>
              <w:pStyle w:val="ds-markdown-paragraph"/>
              <w:shd w:val="clear" w:color="auto" w:fill="FFFFFF"/>
              <w:spacing w:before="0" w:beforeAutospacing="0" w:after="0" w:afterAutospacing="0" w:line="360" w:lineRule="auto"/>
              <w:jc w:val="both"/>
              <w:rPr>
                <w:sz w:val="22"/>
                <w:szCs w:val="22"/>
              </w:rPr>
            </w:pPr>
            <w:r w:rsidRPr="00B674CF">
              <w:rPr>
                <w:sz w:val="22"/>
                <w:szCs w:val="22"/>
              </w:rPr>
              <w:t>Severe</w:t>
            </w:r>
          </w:p>
        </w:tc>
        <w:tc>
          <w:tcPr>
            <w:tcW w:w="0" w:type="auto"/>
            <w:vAlign w:val="center"/>
          </w:tcPr>
          <w:p w14:paraId="2331FE40" w14:textId="14FFD023" w:rsidR="00596439" w:rsidRPr="00B674CF" w:rsidRDefault="00596439"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1 (1.3)</w:t>
            </w:r>
          </w:p>
        </w:tc>
      </w:tr>
      <w:tr w:rsidR="00596439" w:rsidRPr="00B674CF" w14:paraId="759A993C" w14:textId="77777777" w:rsidTr="00A614B7">
        <w:trPr>
          <w:trHeight w:val="515"/>
        </w:trPr>
        <w:tc>
          <w:tcPr>
            <w:tcW w:w="0" w:type="auto"/>
            <w:gridSpan w:val="4"/>
            <w:vAlign w:val="center"/>
            <w:hideMark/>
          </w:tcPr>
          <w:p w14:paraId="54E5797B" w14:textId="77777777" w:rsidR="00596439" w:rsidRPr="00A614B7" w:rsidRDefault="00596439" w:rsidP="00A614B7">
            <w:pPr>
              <w:pStyle w:val="ds-markdown-paragraph"/>
              <w:shd w:val="clear" w:color="auto" w:fill="FFFFFF"/>
              <w:spacing w:before="0" w:beforeAutospacing="0" w:after="0" w:afterAutospacing="0" w:line="360" w:lineRule="auto"/>
              <w:rPr>
                <w:b/>
                <w:sz w:val="22"/>
                <w:szCs w:val="22"/>
              </w:rPr>
            </w:pPr>
            <w:r w:rsidRPr="00A614B7">
              <w:rPr>
                <w:b/>
                <w:sz w:val="22"/>
                <w:szCs w:val="22"/>
              </w:rPr>
              <w:t>Analgesia: Paracetamol</w:t>
            </w:r>
          </w:p>
        </w:tc>
        <w:tc>
          <w:tcPr>
            <w:tcW w:w="0" w:type="auto"/>
            <w:vAlign w:val="center"/>
            <w:hideMark/>
          </w:tcPr>
          <w:p w14:paraId="02724A57" w14:textId="77777777" w:rsidR="00596439" w:rsidRPr="00B674CF" w:rsidRDefault="00596439" w:rsidP="00A614B7">
            <w:pPr>
              <w:pStyle w:val="ds-markdown-paragraph"/>
              <w:shd w:val="clear" w:color="auto" w:fill="FFFFFF"/>
              <w:spacing w:before="0" w:beforeAutospacing="0" w:after="0" w:afterAutospacing="0" w:line="360" w:lineRule="auto"/>
              <w:jc w:val="right"/>
              <w:rPr>
                <w:sz w:val="22"/>
                <w:szCs w:val="22"/>
              </w:rPr>
            </w:pPr>
            <w:r w:rsidRPr="00B674CF">
              <w:rPr>
                <w:sz w:val="22"/>
                <w:szCs w:val="22"/>
              </w:rPr>
              <w:t>75 (100)</w:t>
            </w:r>
          </w:p>
        </w:tc>
      </w:tr>
    </w:tbl>
    <w:p w14:paraId="427B4DE9" w14:textId="77777777" w:rsidR="00855957" w:rsidRPr="00B674CF" w:rsidRDefault="00855957" w:rsidP="00B674CF">
      <w:pPr>
        <w:pStyle w:val="ds-markdown-paragraph"/>
        <w:shd w:val="clear" w:color="auto" w:fill="FFFFFF"/>
        <w:spacing w:before="0" w:beforeAutospacing="0" w:after="0" w:afterAutospacing="0" w:line="360" w:lineRule="auto"/>
        <w:jc w:val="both"/>
        <w:rPr>
          <w:rFonts w:eastAsiaTheme="minorHAnsi"/>
          <w:b/>
          <w:bCs/>
          <w:kern w:val="2"/>
          <w:sz w:val="22"/>
          <w:szCs w:val="22"/>
          <w14:ligatures w14:val="standardContextual"/>
        </w:rPr>
      </w:pPr>
    </w:p>
    <w:p w14:paraId="0A687849" w14:textId="22B17BA1" w:rsidR="0007199B" w:rsidRPr="00B674CF" w:rsidRDefault="00A614B7" w:rsidP="00B674CF">
      <w:pPr>
        <w:pStyle w:val="ds-markdown-paragraph"/>
        <w:shd w:val="clear" w:color="auto" w:fill="FFFFFF"/>
        <w:spacing w:before="0" w:beforeAutospacing="0" w:after="0" w:afterAutospacing="0" w:line="360" w:lineRule="auto"/>
        <w:jc w:val="both"/>
        <w:rPr>
          <w:rFonts w:eastAsiaTheme="minorHAnsi"/>
          <w:kern w:val="2"/>
          <w:sz w:val="22"/>
          <w:szCs w:val="22"/>
          <w14:ligatures w14:val="standardContextual"/>
        </w:rPr>
      </w:pPr>
      <w:r>
        <w:rPr>
          <w:rFonts w:eastAsiaTheme="minorHAnsi"/>
          <w:b/>
          <w:bCs/>
          <w:kern w:val="2"/>
          <w:sz w:val="22"/>
          <w:szCs w:val="22"/>
          <w14:ligatures w14:val="standardContextual"/>
        </w:rPr>
        <w:t>Discussion</w:t>
      </w:r>
    </w:p>
    <w:p w14:paraId="194A58D3" w14:textId="4699D43F" w:rsidR="003C1127" w:rsidRPr="00B674CF" w:rsidRDefault="003C1127" w:rsidP="00B674CF">
      <w:pPr>
        <w:pStyle w:val="ds-markdown-paragraph"/>
        <w:shd w:val="clear" w:color="auto" w:fill="FFFFFF"/>
        <w:spacing w:before="0" w:beforeAutospacing="0" w:after="0" w:afterAutospacing="0" w:line="360" w:lineRule="auto"/>
        <w:jc w:val="both"/>
        <w:rPr>
          <w:rFonts w:eastAsiaTheme="minorHAnsi"/>
          <w:kern w:val="2"/>
          <w:sz w:val="22"/>
          <w:szCs w:val="22"/>
          <w14:ligatures w14:val="standardContextual"/>
        </w:rPr>
      </w:pPr>
      <w:r w:rsidRPr="00B674CF">
        <w:rPr>
          <w:rFonts w:eastAsiaTheme="minorHAnsi"/>
          <w:kern w:val="2"/>
          <w:sz w:val="22"/>
          <w:szCs w:val="22"/>
          <w14:ligatures w14:val="standardContextual"/>
        </w:rPr>
        <w:t xml:space="preserve">Out of all the patients, with a positive serological diagnosis of dengue, nearly half had an increased CPK levels, while none had electrolyte imbalance. </w:t>
      </w:r>
      <w:r w:rsidR="00217AE8" w:rsidRPr="00B674CF">
        <w:rPr>
          <w:rFonts w:eastAsiaTheme="minorHAnsi"/>
          <w:kern w:val="2"/>
          <w:sz w:val="22"/>
          <w:szCs w:val="22"/>
          <w14:ligatures w14:val="standardContextual"/>
        </w:rPr>
        <w:t>Rhabdomyolysis was identified in nearly 10% of the patients, and it was significantly associated with CPK</w:t>
      </w:r>
      <w:r w:rsidR="00DD5619" w:rsidRPr="00B674CF">
        <w:rPr>
          <w:rFonts w:eastAsiaTheme="minorHAnsi"/>
          <w:kern w:val="2"/>
          <w:sz w:val="22"/>
          <w:szCs w:val="22"/>
          <w14:ligatures w14:val="standardContextual"/>
        </w:rPr>
        <w:t>. Muscle weakness was identified in nearly one-</w:t>
      </w:r>
      <w:proofErr w:type="spellStart"/>
      <w:proofErr w:type="gramStart"/>
      <w:r w:rsidR="00DD5619" w:rsidRPr="00B674CF">
        <w:rPr>
          <w:rFonts w:eastAsiaTheme="minorHAnsi"/>
          <w:kern w:val="2"/>
          <w:sz w:val="22"/>
          <w:szCs w:val="22"/>
          <w14:ligatures w14:val="standardContextual"/>
        </w:rPr>
        <w:t>forth</w:t>
      </w:r>
      <w:proofErr w:type="spellEnd"/>
      <w:proofErr w:type="gramEnd"/>
      <w:r w:rsidR="00DD5619" w:rsidRPr="00B674CF">
        <w:rPr>
          <w:rFonts w:eastAsiaTheme="minorHAnsi"/>
          <w:kern w:val="2"/>
          <w:sz w:val="22"/>
          <w:szCs w:val="22"/>
          <w14:ligatures w14:val="standardContextual"/>
        </w:rPr>
        <w:t xml:space="preserve"> of the participants, and it was also significantly associated with CPK. </w:t>
      </w:r>
    </w:p>
    <w:p w14:paraId="37E5B409" w14:textId="4FE7E276" w:rsidR="00FB68D9" w:rsidRPr="00B674CF" w:rsidRDefault="008A1528" w:rsidP="00B674CF">
      <w:pPr>
        <w:pStyle w:val="ds-markdown-paragraph"/>
        <w:shd w:val="clear" w:color="auto" w:fill="FFFFFF"/>
        <w:spacing w:before="0" w:beforeAutospacing="0" w:after="0" w:afterAutospacing="0" w:line="360" w:lineRule="auto"/>
        <w:jc w:val="both"/>
        <w:rPr>
          <w:rFonts w:eastAsiaTheme="minorHAnsi"/>
          <w:kern w:val="2"/>
          <w:sz w:val="22"/>
          <w:szCs w:val="22"/>
          <w14:ligatures w14:val="standardContextual"/>
        </w:rPr>
      </w:pPr>
      <w:r w:rsidRPr="00B674CF">
        <w:rPr>
          <w:rFonts w:eastAsiaTheme="minorHAnsi"/>
          <w:kern w:val="2"/>
          <w:sz w:val="22"/>
          <w:szCs w:val="22"/>
          <w14:ligatures w14:val="standardContextual"/>
        </w:rPr>
        <w:t>Myalgia is defined by pain, tenderness, and slight muscle swelling, with diffuse myalgia being a notable symptom in the early stages of dengue fever. In a comprehensive study involving 1716 confirmed dengue cases , 90.1% reported myalgia,</w:t>
      </w:r>
      <w:r w:rsidR="00605FB2" w:rsidRPr="00B674CF">
        <w:rPr>
          <w:rFonts w:eastAsiaTheme="minorHAnsi"/>
          <w:kern w:val="2"/>
          <w:sz w:val="22"/>
          <w:szCs w:val="22"/>
          <w14:ligatures w14:val="standardContextual"/>
        </w:rPr>
        <w:t xml:space="preserve"> </w:t>
      </w:r>
      <w:r w:rsidR="00605FB2" w:rsidRPr="00B674CF">
        <w:rPr>
          <w:rFonts w:eastAsiaTheme="minorHAnsi"/>
          <w:kern w:val="2"/>
          <w:sz w:val="22"/>
          <w:szCs w:val="22"/>
          <w:vertAlign w:val="superscript"/>
          <w14:ligatures w14:val="standardContextual"/>
        </w:rPr>
        <w:fldChar w:fldCharType="begin"/>
      </w:r>
      <w:r w:rsidR="00CD2508" w:rsidRPr="00B674CF">
        <w:rPr>
          <w:rFonts w:eastAsiaTheme="minorHAnsi"/>
          <w:kern w:val="2"/>
          <w:sz w:val="22"/>
          <w:szCs w:val="22"/>
          <w:vertAlign w:val="superscript"/>
          <w14:ligatures w14:val="standardContextual"/>
        </w:rPr>
        <w:instrText xml:space="preserve"> ADDIN EN.CITE &lt;EndNote&gt;&lt;Cite&gt;&lt;Author&gt;Halsey&lt;/Author&gt;&lt;Year&gt;2012&lt;/Year&gt;&lt;RecNum&gt;33&lt;/RecNum&gt;&lt;DisplayText&gt;5&lt;/DisplayText&gt;&lt;record&gt;&lt;rec-number&gt;33&lt;/rec-number&gt;&lt;foreign-keys&gt;&lt;key app="EN" db-id="02z25wdvbps9aiez5zrpdvwaxrsa5et0rw9z" timestamp="1757132252"&gt;33&lt;/key&gt;&lt;/foreign-keys&gt;&lt;ref-type name="Journal Article"&gt;17&lt;/ref-type&gt;&lt;contributors&gt;&lt;authors&gt;&lt;author&gt;Halsey, E. S.&lt;/author&gt;&lt;author&gt;Marks, M. A.&lt;/author&gt;&lt;author&gt;Gotuzzo, E.&lt;/author&gt;&lt;author&gt;Fiestas, V.&lt;/author&gt;&lt;author&gt;Suarez, L.&lt;/author&gt;&lt;author&gt;Vargas, J.&lt;/author&gt;&lt;author&gt;Aguayo, N.&lt;/author&gt;&lt;author&gt;Madrid, C.&lt;/author&gt;&lt;author&gt;Vimos, C.&lt;/author&gt;&lt;author&gt;Kochel, T. J.&lt;/author&gt;&lt;author&gt;Laguna-Torres, V. A.&lt;/author&gt;&lt;/authors&gt;&lt;/contributors&gt;&lt;auth-address&gt;United States Naval Medical Research Unit Six, Lima, Perú. eric.halsey@med.navy.mil&lt;/auth-address&gt;&lt;titles&gt;&lt;title&gt;Correlation of serotype-specific dengue virus infection with clinical manifestations&lt;/title&gt;&lt;secondary-title&gt;PLoS Negl Trop Dis&lt;/secondary-title&gt;&lt;/titles&gt;&lt;periodical&gt;&lt;full-title&gt;PLoS Negl Trop Dis&lt;/full-title&gt;&lt;/periodical&gt;&lt;pages&gt;e1638&lt;/pages&gt;&lt;volume&gt;6&lt;/volume&gt;&lt;number&gt;5&lt;/number&gt;&lt;edition&gt;2012/05/09&lt;/edition&gt;&lt;keywords&gt;&lt;keyword&gt;Adolescent&lt;/keyword&gt;&lt;keyword&gt;Adult&lt;/keyword&gt;&lt;keyword&gt;Aged&lt;/keyword&gt;&lt;keyword&gt;Aged, 80 and over&lt;/keyword&gt;&lt;keyword&gt;Child&lt;/keyword&gt;&lt;keyword&gt;Child, Preschool&lt;/keyword&gt;&lt;keyword&gt;Dengue/*pathology/*virology&lt;/keyword&gt;&lt;keyword&gt;Dengue Virus/*classification/isolation &amp;amp; purification/*pathogenicity&lt;/keyword&gt;&lt;keyword&gt;Female&lt;/keyword&gt;&lt;keyword&gt;Humans&lt;/keyword&gt;&lt;keyword&gt;Male&lt;/keyword&gt;&lt;keyword&gt;Middle Aged&lt;/keyword&gt;&lt;keyword&gt;Serotyping&lt;/keyword&gt;&lt;keyword&gt;South America/epidemiology&lt;/keyword&gt;&lt;keyword&gt;Young Adult&lt;/keyword&gt;&lt;/keywords&gt;&lt;dates&gt;&lt;year&gt;2012&lt;/year&gt;&lt;/dates&gt;&lt;isbn&gt;1935-2727 (Print)&amp;#xD;1935-2727&lt;/isbn&gt;&lt;accession-num&gt;22563516&lt;/accession-num&gt;&lt;urls&gt;&lt;/urls&gt;&lt;custom2&gt;PMC3341333&lt;/custom2&gt;&lt;electronic-resource-num&gt;10.1371/journal.pntd.0001638&lt;/electronic-resource-num&gt;&lt;remote-database-provider&gt;NLM&lt;/remote-database-provider&gt;&lt;language&gt;eng&lt;/language&gt;&lt;/record&gt;&lt;/Cite&gt;&lt;/EndNote&gt;</w:instrText>
      </w:r>
      <w:r w:rsidR="00605FB2" w:rsidRPr="00B674CF">
        <w:rPr>
          <w:rFonts w:eastAsiaTheme="minorHAnsi"/>
          <w:kern w:val="2"/>
          <w:sz w:val="22"/>
          <w:szCs w:val="22"/>
          <w:vertAlign w:val="superscript"/>
          <w14:ligatures w14:val="standardContextual"/>
        </w:rPr>
        <w:fldChar w:fldCharType="separate"/>
      </w:r>
      <w:r w:rsidR="00CD2508" w:rsidRPr="00B674CF">
        <w:rPr>
          <w:rFonts w:eastAsiaTheme="minorHAnsi"/>
          <w:noProof/>
          <w:kern w:val="2"/>
          <w:sz w:val="22"/>
          <w:szCs w:val="22"/>
          <w:vertAlign w:val="superscript"/>
          <w14:ligatures w14:val="standardContextual"/>
        </w:rPr>
        <w:t>5</w:t>
      </w:r>
      <w:r w:rsidR="00605FB2" w:rsidRPr="00B674CF">
        <w:rPr>
          <w:rFonts w:eastAsiaTheme="minorHAnsi"/>
          <w:kern w:val="2"/>
          <w:sz w:val="22"/>
          <w:szCs w:val="22"/>
          <w:vertAlign w:val="superscript"/>
          <w14:ligatures w14:val="standardContextual"/>
        </w:rPr>
        <w:fldChar w:fldCharType="end"/>
      </w:r>
      <w:r w:rsidRPr="00B674CF">
        <w:rPr>
          <w:rFonts w:eastAsiaTheme="minorHAnsi"/>
          <w:kern w:val="2"/>
          <w:sz w:val="22"/>
          <w:szCs w:val="22"/>
          <w14:ligatures w14:val="standardContextual"/>
        </w:rPr>
        <w:t xml:space="preserve"> while another study found that 30% of 334 laboratory-positive US residents exhibited this symptom post-international travel,</w:t>
      </w:r>
      <w:r w:rsidR="00605FB2" w:rsidRPr="00B674CF">
        <w:rPr>
          <w:rFonts w:eastAsiaTheme="minorHAnsi"/>
          <w:kern w:val="2"/>
          <w:sz w:val="22"/>
          <w:szCs w:val="22"/>
          <w14:ligatures w14:val="standardContextual"/>
        </w:rPr>
        <w:t xml:space="preserve"> </w:t>
      </w:r>
      <w:r w:rsidR="00605FB2" w:rsidRPr="00B674CF">
        <w:rPr>
          <w:rFonts w:eastAsiaTheme="minorHAnsi"/>
          <w:kern w:val="2"/>
          <w:sz w:val="22"/>
          <w:szCs w:val="22"/>
          <w:vertAlign w:val="superscript"/>
          <w14:ligatures w14:val="standardContextual"/>
        </w:rPr>
        <w:fldChar w:fldCharType="begin">
          <w:fldData xml:space="preserve">PEVuZE5vdGU+PENpdGU+PEF1dGhvcj5Nb2hhbW1lZDwvQXV0aG9yPjxZZWFyPjIwMTA8L1llYXI+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=
</w:fldData>
        </w:fldChar>
      </w:r>
      <w:r w:rsidR="00CD2508" w:rsidRPr="00B674CF">
        <w:rPr>
          <w:rFonts w:eastAsiaTheme="minorHAnsi"/>
          <w:kern w:val="2"/>
          <w:sz w:val="22"/>
          <w:szCs w:val="22"/>
          <w:vertAlign w:val="superscript"/>
          <w14:ligatures w14:val="standardContextual"/>
        </w:rPr>
        <w:instrText xml:space="preserve"> ADDIN EN.CITE </w:instrText>
      </w:r>
      <w:r w:rsidR="00CD2508" w:rsidRPr="00B674CF">
        <w:rPr>
          <w:rFonts w:eastAsiaTheme="minorHAnsi"/>
          <w:kern w:val="2"/>
          <w:sz w:val="22"/>
          <w:szCs w:val="22"/>
          <w:vertAlign w:val="superscript"/>
          <w14:ligatures w14:val="standardContextual"/>
        </w:rPr>
        <w:fldChar w:fldCharType="begin">
          <w:fldData xml:space="preserve">PEVuZE5vdGU+PENpdGU+PEF1dGhvcj5Nb2hhbW1lZDwvQXV0aG9yPjxZZWFyPjIwMTA8L1llYXI+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=
</w:fldData>
        </w:fldChar>
      </w:r>
      <w:r w:rsidR="00CD2508" w:rsidRPr="00B674CF">
        <w:rPr>
          <w:rFonts w:eastAsiaTheme="minorHAnsi"/>
          <w:kern w:val="2"/>
          <w:sz w:val="22"/>
          <w:szCs w:val="22"/>
          <w:vertAlign w:val="superscript"/>
          <w14:ligatures w14:val="standardContextual"/>
        </w:rPr>
        <w:instrText xml:space="preserve"> ADDIN EN.CITE.DATA </w:instrText>
      </w:r>
      <w:r w:rsidR="00CD2508" w:rsidRPr="00B674CF">
        <w:rPr>
          <w:rFonts w:eastAsiaTheme="minorHAnsi"/>
          <w:kern w:val="2"/>
          <w:sz w:val="22"/>
          <w:szCs w:val="22"/>
          <w:vertAlign w:val="superscript"/>
          <w14:ligatures w14:val="standardContextual"/>
        </w:rPr>
      </w:r>
      <w:r w:rsidR="00CD2508" w:rsidRPr="00B674CF">
        <w:rPr>
          <w:rFonts w:eastAsiaTheme="minorHAnsi"/>
          <w:kern w:val="2"/>
          <w:sz w:val="22"/>
          <w:szCs w:val="22"/>
          <w:vertAlign w:val="superscript"/>
          <w14:ligatures w14:val="standardContextual"/>
        </w:rPr>
        <w:fldChar w:fldCharType="end"/>
      </w:r>
      <w:r w:rsidR="00605FB2" w:rsidRPr="00B674CF">
        <w:rPr>
          <w:rFonts w:eastAsiaTheme="minorHAnsi"/>
          <w:kern w:val="2"/>
          <w:sz w:val="22"/>
          <w:szCs w:val="22"/>
          <w:vertAlign w:val="superscript"/>
          <w14:ligatures w14:val="standardContextual"/>
        </w:rPr>
      </w:r>
      <w:r w:rsidR="00605FB2" w:rsidRPr="00B674CF">
        <w:rPr>
          <w:rFonts w:eastAsiaTheme="minorHAnsi"/>
          <w:kern w:val="2"/>
          <w:sz w:val="22"/>
          <w:szCs w:val="22"/>
          <w:vertAlign w:val="superscript"/>
          <w14:ligatures w14:val="standardContextual"/>
        </w:rPr>
        <w:fldChar w:fldCharType="separate"/>
      </w:r>
      <w:r w:rsidR="00CD2508" w:rsidRPr="00B674CF">
        <w:rPr>
          <w:rFonts w:eastAsiaTheme="minorHAnsi"/>
          <w:noProof/>
          <w:kern w:val="2"/>
          <w:sz w:val="22"/>
          <w:szCs w:val="22"/>
          <w:vertAlign w:val="superscript"/>
          <w14:ligatures w14:val="standardContextual"/>
        </w:rPr>
        <w:t>6</w:t>
      </w:r>
      <w:r w:rsidR="00605FB2" w:rsidRPr="00B674CF">
        <w:rPr>
          <w:rFonts w:eastAsiaTheme="minorHAnsi"/>
          <w:kern w:val="2"/>
          <w:sz w:val="22"/>
          <w:szCs w:val="22"/>
          <w:vertAlign w:val="superscript"/>
          <w14:ligatures w14:val="standardContextual"/>
        </w:rPr>
        <w:fldChar w:fldCharType="end"/>
      </w:r>
      <w:r w:rsidRPr="00B674CF">
        <w:rPr>
          <w:rFonts w:eastAsiaTheme="minorHAnsi"/>
          <w:kern w:val="2"/>
          <w:sz w:val="22"/>
          <w:szCs w:val="22"/>
          <w14:ligatures w14:val="standardContextual"/>
        </w:rPr>
        <w:t xml:space="preserve"> with a higher prevalence in adults compared to pediatric patients.</w:t>
      </w:r>
      <w:r w:rsidR="00605FB2" w:rsidRPr="00B674CF">
        <w:rPr>
          <w:rFonts w:eastAsiaTheme="minorHAnsi"/>
          <w:kern w:val="2"/>
          <w:sz w:val="22"/>
          <w:szCs w:val="22"/>
          <w14:ligatures w14:val="standardContextual"/>
        </w:rPr>
        <w:t xml:space="preserve"> </w:t>
      </w:r>
      <w:r w:rsidR="00605FB2" w:rsidRPr="00B674CF">
        <w:rPr>
          <w:rFonts w:eastAsiaTheme="minorHAnsi"/>
          <w:kern w:val="2"/>
          <w:sz w:val="22"/>
          <w:szCs w:val="22"/>
          <w14:ligatures w14:val="standardContextual"/>
        </w:rPr>
        <w:fldChar w:fldCharType="begin"/>
      </w:r>
      <w:r w:rsidR="00CD2508" w:rsidRPr="00B674CF">
        <w:rPr>
          <w:rFonts w:eastAsiaTheme="minorHAnsi"/>
          <w:kern w:val="2"/>
          <w:sz w:val="22"/>
          <w:szCs w:val="22"/>
          <w14:ligatures w14:val="standardContextual"/>
        </w:rPr>
        <w:instrText xml:space="preserve"> ADDIN EN.CITE &lt;EndNote&gt;&lt;Cite&gt;&lt;Author&gt;Kulkarni&lt;/Author&gt;&lt;Year&gt;2010&lt;/Year&gt;&lt;RecNum&gt;34&lt;/RecNum&gt;&lt;DisplayText&gt;13&lt;/DisplayText&gt;&lt;record&gt;&lt;rec-number&gt;34&lt;/rec-number&gt;&lt;foreign-keys&gt;&lt;key app="EN" db-id="02z25wdvbps9aiez5zrpdvwaxrsa5et0rw9z" timestamp="1757133096"&gt;34&lt;/key&gt;&lt;/foreign-keys&gt;&lt;ref-type name="Journal Article"&gt;17&lt;/ref-type&gt;&lt;contributors&gt;&lt;authors&gt;&lt;author&gt;Kulkarni, M. J.&lt;/author&gt;&lt;author&gt;Sarathi, V.&lt;/author&gt;&lt;author&gt;Bhalla, V.&lt;/author&gt;&lt;author&gt;Shivpuri, D.&lt;/author&gt;&lt;author&gt;Acharya, U.&lt;/author&gt;&lt;/authors&gt;&lt;/contributors&gt;&lt;auth-address&gt;Department of Pediatrics, Sir Padampat Mother and Child Health Institute, SMS Medical College, Jaipur, Rajasthan, India.&lt;/auth-address&gt;&lt;titles&gt;&lt;title&gt;Clinico-epidemiological profile of children hospitalized with dengue&lt;/title&gt;&lt;secondary-title&gt;Indian J Pediatr&lt;/secondary-title&gt;&lt;/titles&gt;&lt;periodical&gt;&lt;full-title&gt;Indian J Pediatr&lt;/full-title&gt;&lt;/periodical&gt;&lt;pages&gt;1103-7&lt;/pages&gt;&lt;volume&gt;77&lt;/volume&gt;&lt;number&gt;10&lt;/number&gt;&lt;edition&gt;2010/10/05&lt;/edition&gt;&lt;keywords&gt;&lt;keyword&gt;Child&lt;/keyword&gt;&lt;keyword&gt;Dengue/complications/*diagnosis/epidemiology&lt;/keyword&gt;&lt;keyword&gt;Epistaxis/etiology&lt;/keyword&gt;&lt;keyword&gt;Female&lt;/keyword&gt;&lt;keyword&gt;Hospitalization&lt;/keyword&gt;&lt;keyword&gt;Humans&lt;/keyword&gt;&lt;keyword&gt;Male&lt;/keyword&gt;&lt;keyword&gt;Prospective Studies&lt;/keyword&gt;&lt;/keywords&gt;&lt;dates&gt;&lt;year&gt;2010&lt;/year&gt;&lt;pub-dates&gt;&lt;date&gt;Oct&lt;/date&gt;&lt;/pub-dates&gt;&lt;/dates&gt;&lt;isbn&gt;0019-5456&lt;/isbn&gt;&lt;accession-num&gt;20890686&lt;/accession-num&gt;&lt;urls&gt;&lt;/urls&gt;&lt;electronic-resource-num&gt;10.1007/s12098-010-0202-2&lt;/electronic-resource-num&gt;&lt;remote-database-provider&gt;NLM&lt;/remote-database-provider&gt;&lt;language&gt;eng&lt;/language&gt;&lt;/record&gt;&lt;/Cite&gt;&lt;/EndNote&gt;</w:instrText>
      </w:r>
      <w:r w:rsidR="00605FB2" w:rsidRPr="00B674CF">
        <w:rPr>
          <w:rFonts w:eastAsiaTheme="minorHAnsi"/>
          <w:kern w:val="2"/>
          <w:sz w:val="22"/>
          <w:szCs w:val="22"/>
          <w14:ligatures w14:val="standardContextual"/>
        </w:rPr>
        <w:fldChar w:fldCharType="separate"/>
      </w:r>
      <w:r w:rsidR="00CD2508" w:rsidRPr="00B674CF">
        <w:rPr>
          <w:rFonts w:eastAsiaTheme="minorHAnsi"/>
          <w:noProof/>
          <w:kern w:val="2"/>
          <w:sz w:val="22"/>
          <w:szCs w:val="22"/>
          <w14:ligatures w14:val="standardContextual"/>
        </w:rPr>
        <w:t>13</w:t>
      </w:r>
      <w:r w:rsidR="00605FB2" w:rsidRPr="00B674CF">
        <w:rPr>
          <w:rFonts w:eastAsiaTheme="minorHAnsi"/>
          <w:kern w:val="2"/>
          <w:sz w:val="22"/>
          <w:szCs w:val="22"/>
          <w14:ligatures w14:val="standardContextual"/>
        </w:rPr>
        <w:fldChar w:fldCharType="end"/>
      </w:r>
      <w:r w:rsidRPr="00B674CF">
        <w:rPr>
          <w:rFonts w:eastAsiaTheme="minorHAnsi"/>
          <w:kern w:val="2"/>
          <w:sz w:val="22"/>
          <w:szCs w:val="22"/>
          <w14:ligatures w14:val="standardContextual"/>
        </w:rPr>
        <w:t xml:space="preserve"> In our study 93.2% of the patients reported mild while only 5.3% moderate and 1.3% severe</w:t>
      </w:r>
      <w:r w:rsidR="0017103E" w:rsidRPr="00B674CF">
        <w:rPr>
          <w:rFonts w:eastAsiaTheme="minorHAnsi"/>
          <w:kern w:val="2"/>
          <w:sz w:val="22"/>
          <w:szCs w:val="22"/>
          <w14:ligatures w14:val="standardContextual"/>
        </w:rPr>
        <w:t xml:space="preserve"> myalgia.</w:t>
      </w:r>
      <w:r w:rsidRPr="00B674CF">
        <w:rPr>
          <w:rFonts w:eastAsiaTheme="minorHAnsi"/>
          <w:kern w:val="2"/>
          <w:sz w:val="22"/>
          <w:szCs w:val="22"/>
          <w14:ligatures w14:val="standardContextual"/>
        </w:rPr>
        <w:t xml:space="preserve">  The precise mechanism underlying myalgia in dengue remains unclear, though it may be attributed to widespread viral infiltration of muscle tissues during viremia accompanied by subsequent inflammatory responses.</w:t>
      </w:r>
    </w:p>
    <w:p w14:paraId="241B7A75" w14:textId="4AB3189A" w:rsidR="00472591" w:rsidRPr="00B674CF" w:rsidRDefault="00472591" w:rsidP="00B674CF">
      <w:pPr>
        <w:pStyle w:val="ds-markdown-paragraph"/>
        <w:shd w:val="clear" w:color="auto" w:fill="FFFFFF"/>
        <w:spacing w:before="0" w:beforeAutospacing="0" w:after="0" w:afterAutospacing="0" w:line="360" w:lineRule="auto"/>
        <w:jc w:val="both"/>
        <w:rPr>
          <w:rFonts w:eastAsiaTheme="minorHAnsi"/>
          <w:kern w:val="2"/>
          <w:sz w:val="22"/>
          <w:szCs w:val="22"/>
          <w:vertAlign w:val="superscript"/>
          <w14:ligatures w14:val="standardContextual"/>
        </w:rPr>
      </w:pPr>
      <w:r w:rsidRPr="00B674CF">
        <w:rPr>
          <w:rFonts w:eastAsiaTheme="minorHAnsi"/>
          <w:kern w:val="2"/>
          <w:sz w:val="22"/>
          <w:szCs w:val="22"/>
          <w14:ligatures w14:val="standardContextual"/>
        </w:rPr>
        <w:lastRenderedPageBreak/>
        <w:t>Myositis is characterized by inflammation of skeletal muscle, leading to pronounced motor weakness across all four limbs. In a cohort of 40 pediatric patients with benign acute myositis, 50% tested positive for the dengue virus, with 45% exhibiting significantly elevated CPK levels exceeding 1000 IU/L.</w:t>
      </w:r>
      <w:r w:rsidR="00627301" w:rsidRPr="00B674CF">
        <w:rPr>
          <w:rFonts w:eastAsiaTheme="minorHAnsi"/>
          <w:kern w:val="2"/>
          <w:sz w:val="22"/>
          <w:szCs w:val="22"/>
          <w14:ligatures w14:val="standardContextual"/>
        </w:rPr>
        <w:t xml:space="preserve"> </w:t>
      </w:r>
      <w:r w:rsidR="00627301" w:rsidRPr="00B674CF">
        <w:rPr>
          <w:rFonts w:eastAsiaTheme="minorHAnsi"/>
          <w:kern w:val="2"/>
          <w:sz w:val="22"/>
          <w:szCs w:val="22"/>
          <w:vertAlign w:val="superscript"/>
          <w14:ligatures w14:val="standardContextual"/>
        </w:rPr>
        <w:fldChar w:fldCharType="begin"/>
      </w:r>
      <w:r w:rsidR="00CD2508" w:rsidRPr="00B674CF">
        <w:rPr>
          <w:rFonts w:eastAsiaTheme="minorHAnsi"/>
          <w:kern w:val="2"/>
          <w:sz w:val="22"/>
          <w:szCs w:val="22"/>
          <w:vertAlign w:val="superscript"/>
          <w14:ligatures w14:val="standardContextual"/>
        </w:rPr>
        <w:instrText xml:space="preserve"> ADDIN EN.CITE &lt;EndNote&gt;&lt;Cite&gt;&lt;Author&gt;Rajajee&lt;/Author&gt;&lt;Year&gt;2005&lt;/Year&gt;&lt;RecNum&gt;35&lt;/RecNum&gt;&lt;DisplayText&gt;14&lt;/DisplayText&gt;&lt;record&gt;&lt;rec-number&gt;35&lt;/rec-number&gt;&lt;foreign-keys&gt;&lt;key app="EN" db-id="02z25wdvbps9aiez5zrpdvwaxrsa5et0rw9z" timestamp="1757133350"&gt;35&lt;/key&gt;&lt;/foreign-keys&gt;&lt;ref-type name="Journal Article"&gt;17&lt;/ref-type&gt;&lt;contributors&gt;&lt;authors&gt;&lt;author&gt;Rajajee, S.&lt;/author&gt;&lt;author&gt;Ezhilarasi, S.&lt;/author&gt;&lt;author&gt;Rajarajan, K.&lt;/author&gt;&lt;/authors&gt;&lt;/contributors&gt;&lt;auth-address&gt;Kanchi Kamakoti CHILDS Trust Hospital, Chennai, India. saralarajajee@yahoo.com&lt;/auth-address&gt;&lt;titles&gt;&lt;title&gt;Benign acute childhood myositis&lt;/title&gt;&lt;secondary-title&gt;Indian J Pediatr&lt;/secondary-title&gt;&lt;/titles&gt;&lt;periodical&gt;&lt;full-title&gt;Indian J Pediatr&lt;/full-title&gt;&lt;/periodical&gt;&lt;pages&gt;399-400&lt;/pages&gt;&lt;volume&gt;72&lt;/volume&gt;&lt;number&gt;5&lt;/number&gt;&lt;edition&gt;2005/06/24&lt;/edition&gt;&lt;keywords&gt;&lt;keyword&gt;Acute Disease&lt;/keyword&gt;&lt;keyword&gt;Age Distribution&lt;/keyword&gt;&lt;keyword&gt;Child, Preschool&lt;/keyword&gt;&lt;keyword&gt;Comorbidity&lt;/keyword&gt;&lt;keyword&gt;Female&lt;/keyword&gt;&lt;keyword&gt;Guillain-Barre Syndrome/epidemiology&lt;/keyword&gt;&lt;keyword&gt;Humans&lt;/keyword&gt;&lt;keyword&gt;India/epidemiology&lt;/keyword&gt;&lt;keyword&gt;Male&lt;/keyword&gt;&lt;keyword&gt;Mobility Limitation&lt;/keyword&gt;&lt;keyword&gt;Myositis/diagnosis/*epidemiology/therapy&lt;/keyword&gt;&lt;keyword&gt;Sex Distribution&lt;/keyword&gt;&lt;keyword&gt;Treatment Outcome&lt;/keyword&gt;&lt;/keywords&gt;&lt;dates&gt;&lt;year&gt;2005&lt;/year&gt;&lt;pub-dates&gt;&lt;date&gt;May&lt;/date&gt;&lt;/pub-dates&gt;&lt;/dates&gt;&lt;isbn&gt;0019-5456&lt;/isbn&gt;&lt;accession-num&gt;15973022&lt;/accession-num&gt;&lt;urls&gt;&lt;/urls&gt;&lt;electronic-resource-num&gt;10.1007/bf02731735&lt;/electronic-resource-num&gt;&lt;remote-database-provider&gt;NLM&lt;/remote-database-provider&gt;&lt;language&gt;eng&lt;/language&gt;&lt;/record&gt;&lt;/Cite&gt;&lt;/EndNote&gt;</w:instrText>
      </w:r>
      <w:r w:rsidR="00627301" w:rsidRPr="00B674CF">
        <w:rPr>
          <w:rFonts w:eastAsiaTheme="minorHAnsi"/>
          <w:kern w:val="2"/>
          <w:sz w:val="22"/>
          <w:szCs w:val="22"/>
          <w:vertAlign w:val="superscript"/>
          <w14:ligatures w14:val="standardContextual"/>
        </w:rPr>
        <w:fldChar w:fldCharType="separate"/>
      </w:r>
      <w:r w:rsidR="00CD2508" w:rsidRPr="00B674CF">
        <w:rPr>
          <w:rFonts w:eastAsiaTheme="minorHAnsi"/>
          <w:noProof/>
          <w:kern w:val="2"/>
          <w:sz w:val="22"/>
          <w:szCs w:val="22"/>
          <w:vertAlign w:val="superscript"/>
          <w14:ligatures w14:val="standardContextual"/>
        </w:rPr>
        <w:t>14</w:t>
      </w:r>
      <w:r w:rsidR="00627301" w:rsidRPr="00B674CF">
        <w:rPr>
          <w:rFonts w:eastAsiaTheme="minorHAnsi"/>
          <w:kern w:val="2"/>
          <w:sz w:val="22"/>
          <w:szCs w:val="22"/>
          <w:vertAlign w:val="superscript"/>
          <w14:ligatures w14:val="standardContextual"/>
        </w:rPr>
        <w:fldChar w:fldCharType="end"/>
      </w:r>
      <w:r w:rsidRPr="00B674CF">
        <w:rPr>
          <w:rFonts w:eastAsiaTheme="minorHAnsi"/>
          <w:kern w:val="2"/>
          <w:sz w:val="22"/>
          <w:szCs w:val="22"/>
          <w14:ligatures w14:val="standardContextual"/>
        </w:rPr>
        <w:t xml:space="preserve"> The severity of dengue-associated myositis spans from mild, self-resolving weakness to severe manifestations, including quadriplegia and respiratory failure, with concurrent myocarditis also reported and fatalities occurring in severe instances.</w:t>
      </w:r>
      <w:r w:rsidR="00627301" w:rsidRPr="00B674CF">
        <w:rPr>
          <w:rFonts w:eastAsiaTheme="minorHAnsi"/>
          <w:kern w:val="2"/>
          <w:sz w:val="22"/>
          <w:szCs w:val="22"/>
          <w14:ligatures w14:val="standardContextual"/>
        </w:rPr>
        <w:t xml:space="preserve"> </w:t>
      </w:r>
      <w:r w:rsidR="00627301" w:rsidRPr="00B674CF">
        <w:rPr>
          <w:rFonts w:eastAsiaTheme="minorHAnsi"/>
          <w:kern w:val="2"/>
          <w:sz w:val="22"/>
          <w:szCs w:val="22"/>
          <w:vertAlign w:val="superscript"/>
          <w14:ligatures w14:val="standardContextual"/>
        </w:rPr>
        <w:fldChar w:fldCharType="begin">
          <w:fldData xml:space="preserve">PEVuZE5vdGU+PENpdGU+PEF1dGhvcj5QYWxpd2FsPC9BdXRob3I+PFllYXI+MjAxMTwvWWVhcj48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</w:fldData>
        </w:fldChar>
      </w:r>
      <w:r w:rsidR="00CD2508" w:rsidRPr="00B674CF">
        <w:rPr>
          <w:rFonts w:eastAsiaTheme="minorHAnsi"/>
          <w:kern w:val="2"/>
          <w:sz w:val="22"/>
          <w:szCs w:val="22"/>
          <w:vertAlign w:val="superscript"/>
          <w14:ligatures w14:val="standardContextual"/>
        </w:rPr>
        <w:instrText xml:space="preserve"> ADDIN EN.CITE </w:instrText>
      </w:r>
      <w:r w:rsidR="00CD2508" w:rsidRPr="00B674CF">
        <w:rPr>
          <w:rFonts w:eastAsiaTheme="minorHAnsi"/>
          <w:kern w:val="2"/>
          <w:sz w:val="22"/>
          <w:szCs w:val="22"/>
          <w:vertAlign w:val="superscript"/>
          <w14:ligatures w14:val="standardContextual"/>
        </w:rPr>
        <w:fldChar w:fldCharType="begin">
          <w:fldData xml:space="preserve">PEVuZE5vdGU+PENpdGU+PEF1dGhvcj5QYWxpd2FsPC9BdXRob3I+PFllYXI+MjAxMTwvWWVhcj48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</w:fldData>
        </w:fldChar>
      </w:r>
      <w:r w:rsidR="00CD2508" w:rsidRPr="00B674CF">
        <w:rPr>
          <w:rFonts w:eastAsiaTheme="minorHAnsi"/>
          <w:kern w:val="2"/>
          <w:sz w:val="22"/>
          <w:szCs w:val="22"/>
          <w:vertAlign w:val="superscript"/>
          <w14:ligatures w14:val="standardContextual"/>
        </w:rPr>
        <w:instrText xml:space="preserve"> ADDIN EN.CITE.DATA </w:instrText>
      </w:r>
      <w:r w:rsidR="00CD2508" w:rsidRPr="00B674CF">
        <w:rPr>
          <w:rFonts w:eastAsiaTheme="minorHAnsi"/>
          <w:kern w:val="2"/>
          <w:sz w:val="22"/>
          <w:szCs w:val="22"/>
          <w:vertAlign w:val="superscript"/>
          <w14:ligatures w14:val="standardContextual"/>
        </w:rPr>
      </w:r>
      <w:r w:rsidR="00CD2508" w:rsidRPr="00B674CF">
        <w:rPr>
          <w:rFonts w:eastAsiaTheme="minorHAnsi"/>
          <w:kern w:val="2"/>
          <w:sz w:val="22"/>
          <w:szCs w:val="22"/>
          <w:vertAlign w:val="superscript"/>
          <w14:ligatures w14:val="standardContextual"/>
        </w:rPr>
        <w:fldChar w:fldCharType="end"/>
      </w:r>
      <w:r w:rsidR="00627301" w:rsidRPr="00B674CF">
        <w:rPr>
          <w:rFonts w:eastAsiaTheme="minorHAnsi"/>
          <w:kern w:val="2"/>
          <w:sz w:val="22"/>
          <w:szCs w:val="22"/>
          <w:vertAlign w:val="superscript"/>
          <w14:ligatures w14:val="standardContextual"/>
        </w:rPr>
      </w:r>
      <w:r w:rsidR="00627301" w:rsidRPr="00B674CF">
        <w:rPr>
          <w:rFonts w:eastAsiaTheme="minorHAnsi"/>
          <w:kern w:val="2"/>
          <w:sz w:val="22"/>
          <w:szCs w:val="22"/>
          <w:vertAlign w:val="superscript"/>
          <w14:ligatures w14:val="standardContextual"/>
        </w:rPr>
        <w:fldChar w:fldCharType="separate"/>
      </w:r>
      <w:r w:rsidR="00CD2508" w:rsidRPr="00B674CF">
        <w:rPr>
          <w:rFonts w:eastAsiaTheme="minorHAnsi"/>
          <w:noProof/>
          <w:kern w:val="2"/>
          <w:sz w:val="22"/>
          <w:szCs w:val="22"/>
          <w:vertAlign w:val="superscript"/>
          <w14:ligatures w14:val="standardContextual"/>
        </w:rPr>
        <w:t>15, 16</w:t>
      </w:r>
      <w:r w:rsidR="00627301" w:rsidRPr="00B674CF">
        <w:rPr>
          <w:rFonts w:eastAsiaTheme="minorHAnsi"/>
          <w:kern w:val="2"/>
          <w:sz w:val="22"/>
          <w:szCs w:val="22"/>
          <w:vertAlign w:val="superscript"/>
          <w14:ligatures w14:val="standardContextual"/>
        </w:rPr>
        <w:fldChar w:fldCharType="end"/>
      </w:r>
    </w:p>
    <w:p w14:paraId="5B040AF3" w14:textId="65D9C35A" w:rsidR="007A56EE" w:rsidRPr="00B674CF" w:rsidRDefault="00FB19AB" w:rsidP="00B674CF">
      <w:pPr>
        <w:pStyle w:val="ds-markdown-paragraph"/>
        <w:shd w:val="clear" w:color="auto" w:fill="FFFFFF"/>
        <w:spacing w:before="0" w:beforeAutospacing="0" w:after="0" w:afterAutospacing="0" w:line="360" w:lineRule="auto"/>
        <w:jc w:val="both"/>
        <w:rPr>
          <w:rFonts w:eastAsiaTheme="minorHAnsi"/>
          <w:kern w:val="2"/>
          <w:sz w:val="22"/>
          <w:szCs w:val="22"/>
          <w:vertAlign w:val="superscript"/>
          <w14:ligatures w14:val="standardContextual"/>
        </w:rPr>
      </w:pPr>
      <w:r w:rsidRPr="00B674CF">
        <w:rPr>
          <w:rFonts w:eastAsiaTheme="minorHAnsi"/>
          <w:kern w:val="2"/>
          <w:sz w:val="22"/>
          <w:szCs w:val="22"/>
          <w14:ligatures w14:val="standardContextual"/>
        </w:rPr>
        <w:t xml:space="preserve">Very few cases of rhabdomyolysis in dengue patients have been reported in the medical literature, Sargeant et al. reports a case in which a patient presented with acute febrile illness was admitted to the hospital, serological tests confirmed dengue infection. He was managed conservatively and on day 6 was subsequently discharged, on day 8 he suddenly developed </w:t>
      </w:r>
      <w:proofErr w:type="spellStart"/>
      <w:r w:rsidRPr="00B674CF">
        <w:rPr>
          <w:rFonts w:eastAsiaTheme="minorHAnsi"/>
          <w:kern w:val="2"/>
          <w:sz w:val="22"/>
          <w:szCs w:val="22"/>
          <w14:ligatures w14:val="standardContextual"/>
        </w:rPr>
        <w:t>heamaturia</w:t>
      </w:r>
      <w:proofErr w:type="spellEnd"/>
      <w:r w:rsidRPr="00B674CF">
        <w:rPr>
          <w:rFonts w:eastAsiaTheme="minorHAnsi"/>
          <w:kern w:val="2"/>
          <w:sz w:val="22"/>
          <w:szCs w:val="22"/>
          <w14:ligatures w14:val="standardContextual"/>
        </w:rPr>
        <w:t xml:space="preserve">, he was found to have </w:t>
      </w:r>
      <w:r w:rsidR="005A5CC5" w:rsidRPr="00B674CF">
        <w:rPr>
          <w:rFonts w:eastAsiaTheme="minorHAnsi"/>
          <w:kern w:val="2"/>
          <w:sz w:val="22"/>
          <w:szCs w:val="22"/>
          <w14:ligatures w14:val="standardContextual"/>
        </w:rPr>
        <w:t>myoglobinuria</w:t>
      </w:r>
      <w:r w:rsidRPr="00B674CF">
        <w:rPr>
          <w:rFonts w:eastAsiaTheme="minorHAnsi"/>
          <w:kern w:val="2"/>
          <w:sz w:val="22"/>
          <w:szCs w:val="22"/>
          <w14:ligatures w14:val="standardContextual"/>
        </w:rPr>
        <w:t xml:space="preserve"> and significantly raised CPK levels, confirming a diagnosis of rhabdomyolysis. He was managed with aggressive hydration and monitoring of urine output and renal functions</w:t>
      </w:r>
      <w:r w:rsidR="00BD1972" w:rsidRPr="00B674CF">
        <w:rPr>
          <w:rFonts w:eastAsiaTheme="minorHAnsi"/>
          <w:kern w:val="2"/>
          <w:sz w:val="22"/>
          <w:szCs w:val="22"/>
          <w14:ligatures w14:val="standardContextual"/>
        </w:rPr>
        <w:t xml:space="preserve">; resulting in </w:t>
      </w:r>
      <w:r w:rsidRPr="00B674CF">
        <w:rPr>
          <w:rFonts w:eastAsiaTheme="minorHAnsi"/>
          <w:kern w:val="2"/>
          <w:sz w:val="22"/>
          <w:szCs w:val="22"/>
          <w14:ligatures w14:val="standardContextual"/>
        </w:rPr>
        <w:t xml:space="preserve"> an uneventful recovery and was subsequently discharged.</w:t>
      </w:r>
      <w:r w:rsidR="00627301" w:rsidRPr="00B674CF">
        <w:rPr>
          <w:rFonts w:eastAsiaTheme="minorHAnsi"/>
          <w:kern w:val="2"/>
          <w:sz w:val="22"/>
          <w:szCs w:val="22"/>
          <w14:ligatures w14:val="standardContextual"/>
        </w:rPr>
        <w:t xml:space="preserve"> </w:t>
      </w:r>
      <w:r w:rsidR="00627301" w:rsidRPr="00B674CF">
        <w:rPr>
          <w:rFonts w:eastAsiaTheme="minorHAnsi"/>
          <w:kern w:val="2"/>
          <w:sz w:val="22"/>
          <w:szCs w:val="22"/>
          <w14:ligatures w14:val="standardContextual"/>
        </w:rPr>
        <w:fldChar w:fldCharType="begin"/>
      </w:r>
      <w:r w:rsidR="00CD2508" w:rsidRPr="00B674CF">
        <w:rPr>
          <w:rFonts w:eastAsiaTheme="minorHAnsi"/>
          <w:kern w:val="2"/>
          <w:sz w:val="22"/>
          <w:szCs w:val="22"/>
          <w14:ligatures w14:val="standardContextual"/>
        </w:rPr>
        <w:instrText xml:space="preserve"> ADDIN EN.CITE &lt;EndNote&gt;&lt;Cite&gt;&lt;Author&gt;Sargeant&lt;/Author&gt;&lt;Year&gt;2013&lt;/Year&gt;&lt;RecNum&gt;14&lt;/RecNum&gt;&lt;DisplayText&gt;17&lt;/DisplayText&gt;&lt;record&gt;&lt;rec-number&gt;14&lt;/rec-number&gt;&lt;foreign-keys&gt;&lt;key app="EN" db-id="02z25wdvbps9aiez5zrpdvwaxrsa5et0rw9z" timestamp="1756627795"&gt;14&lt;/key&gt;&lt;/foreign-keys&gt;&lt;ref-type name="Journal Article"&gt;17&lt;/ref-type&gt;&lt;contributors&gt;&lt;authors&gt;&lt;author&gt;Sargeant, T.&lt;/author&gt;&lt;author&gt;Harris, T.&lt;/author&gt;&lt;author&gt;Wilks, R.&lt;/author&gt;&lt;author&gt;Barned, S.&lt;/author&gt;&lt;author&gt;Galloway-Blake, K.&lt;/author&gt;&lt;author&gt;Ferguson, T.&lt;/author&gt;&lt;/authors&gt;&lt;/contributors&gt;&lt;auth-address&gt;Department of Medicine, The University of the West Indies, Mona, Kingston 7, Jamaica.&lt;/auth-address&gt;&lt;titles&gt;&lt;title&gt;Rhabdomyolysis and dengue Fever: a case report and literature review&lt;/title&gt;&lt;secondary-title&gt;Case Rep Med&lt;/secondary-title&gt;&lt;/titles&gt;&lt;periodical&gt;&lt;full-title&gt;Case Rep Med&lt;/full-title&gt;&lt;/periodical&gt;&lt;pages&gt;101058&lt;/pages&gt;&lt;volume&gt;2013&lt;/volume&gt;&lt;edition&gt;2013/02/21&lt;/edition&gt;&lt;dates&gt;&lt;year&gt;2013&lt;/year&gt;&lt;/dates&gt;&lt;isbn&gt;1687-9627 (Print)&lt;/isbn&gt;&lt;accession-num&gt;23424589&lt;/accession-num&gt;&lt;urls&gt;&lt;/urls&gt;&lt;custom2&gt;PMC3568885&lt;/custom2&gt;&lt;electronic-resource-num&gt;10.1155/2013/101058&lt;/electronic-resource-num&gt;&lt;remote-database-provider&gt;NLM&lt;/remote-database-provider&gt;&lt;language&gt;eng&lt;/language&gt;&lt;/record&gt;&lt;/Cite&gt;&lt;/EndNote&gt;</w:instrText>
      </w:r>
      <w:r w:rsidR="00627301" w:rsidRPr="00B674CF">
        <w:rPr>
          <w:rFonts w:eastAsiaTheme="minorHAnsi"/>
          <w:kern w:val="2"/>
          <w:sz w:val="22"/>
          <w:szCs w:val="22"/>
          <w14:ligatures w14:val="standardContextual"/>
        </w:rPr>
        <w:fldChar w:fldCharType="separate"/>
      </w:r>
      <w:r w:rsidR="00CD2508" w:rsidRPr="00B674CF">
        <w:rPr>
          <w:rFonts w:eastAsiaTheme="minorHAnsi"/>
          <w:noProof/>
          <w:kern w:val="2"/>
          <w:sz w:val="22"/>
          <w:szCs w:val="22"/>
          <w14:ligatures w14:val="standardContextual"/>
        </w:rPr>
        <w:t>17</w:t>
      </w:r>
      <w:r w:rsidR="00627301" w:rsidRPr="00B674CF">
        <w:rPr>
          <w:rFonts w:eastAsiaTheme="minorHAnsi"/>
          <w:kern w:val="2"/>
          <w:sz w:val="22"/>
          <w:szCs w:val="22"/>
          <w14:ligatures w14:val="standardContextual"/>
        </w:rPr>
        <w:fldChar w:fldCharType="end"/>
      </w:r>
      <w:r w:rsidRPr="00B674CF">
        <w:rPr>
          <w:rFonts w:eastAsiaTheme="minorHAnsi"/>
          <w:kern w:val="2"/>
          <w:sz w:val="22"/>
          <w:szCs w:val="22"/>
          <w14:ligatures w14:val="standardContextual"/>
        </w:rPr>
        <w:t xml:space="preserve"> </w:t>
      </w:r>
      <w:r w:rsidR="007A56EE" w:rsidRPr="00B674CF">
        <w:rPr>
          <w:rFonts w:eastAsiaTheme="minorHAnsi"/>
          <w:kern w:val="2"/>
          <w:sz w:val="22"/>
          <w:szCs w:val="22"/>
          <w14:ligatures w14:val="standardContextual"/>
        </w:rPr>
        <w:t xml:space="preserve">Acharya et al. described another case in which a patient presented with fever, </w:t>
      </w:r>
      <w:r w:rsidR="006B37E4" w:rsidRPr="00B674CF">
        <w:rPr>
          <w:rFonts w:eastAsiaTheme="minorHAnsi"/>
          <w:kern w:val="2"/>
          <w:sz w:val="22"/>
          <w:szCs w:val="22"/>
          <w14:ligatures w14:val="standardContextual"/>
        </w:rPr>
        <w:t xml:space="preserve">muscle pain and tenderness along with painful limb movements. The very next day he developed acute flaccid quadriparesis gradually involving the pharyngeal and respiratory muscles. Further investigations revealed deranged renal functions, raised serum and urine myoglobin confirming the diagnosis of rhabdomyolysis, IgM by ELISA was strongly positive for dengue. </w:t>
      </w:r>
      <w:r w:rsidR="00627301" w:rsidRPr="00B674CF">
        <w:rPr>
          <w:rFonts w:eastAsiaTheme="minorHAnsi"/>
          <w:kern w:val="2"/>
          <w:sz w:val="22"/>
          <w:szCs w:val="22"/>
          <w:vertAlign w:val="superscript"/>
          <w14:ligatures w14:val="standardContextual"/>
        </w:rPr>
        <w:fldChar w:fldCharType="begin"/>
      </w:r>
      <w:r w:rsidR="00CD2508" w:rsidRPr="00B674CF">
        <w:rPr>
          <w:rFonts w:eastAsiaTheme="minorHAnsi"/>
          <w:kern w:val="2"/>
          <w:sz w:val="22"/>
          <w:szCs w:val="22"/>
          <w:vertAlign w:val="superscript"/>
          <w14:ligatures w14:val="standardContextual"/>
        </w:rPr>
        <w:instrText xml:space="preserve"> ADDIN EN.CITE &lt;EndNote&gt;&lt;Cite&gt;&lt;Author&gt;Acharya&lt;/Author&gt;&lt;Year&gt;2010&lt;/Year&gt;&lt;RecNum&gt;15&lt;/RecNum&gt;&lt;DisplayText&gt;18&lt;/DisplayText&gt;&lt;record&gt;&lt;rec-number&gt;15&lt;/rec-number&gt;&lt;foreign-keys&gt;&lt;key app="EN" db-id="02z25wdvbps9aiez5zrpdvwaxrsa5et0rw9z" timestamp="1756710687"&gt;15&lt;/key&gt;&lt;/foreign-keys&gt;&lt;ref-type name="Journal Article"&gt;17&lt;/ref-type&gt;&lt;contributors&gt;&lt;authors&gt;&lt;author&gt;Acharya, S.&lt;/author&gt;&lt;author&gt;Shukla, S.&lt;/author&gt;&lt;author&gt;Mahajan, S. N.&lt;/author&gt;&lt;author&gt;Diwan, S. K.&lt;/author&gt;&lt;/authors&gt;&lt;/contributors&gt;&lt;auth-address&gt;Department of Medicine, J.N Medical College, DMIMS University, Sawangi (Meghe), Wardha - 442 004, Maharashtra, India.&lt;/auth-address&gt;&lt;titles&gt;&lt;title&gt;Acute dengue myositis with rhabdomyolysis and acute renal failure&lt;/title&gt;&lt;secondary-title&gt;Ann Indian Acad Neurol&lt;/secondary-title&gt;&lt;/titles&gt;&lt;periodical&gt;&lt;full-title&gt;Ann Indian Acad Neurol&lt;/full-title&gt;&lt;/periodical&gt;&lt;pages&gt;221-2&lt;/pages&gt;&lt;volume&gt;13&lt;/volume&gt;&lt;number&gt;3&lt;/number&gt;&lt;edition&gt;2010/11/19&lt;/edition&gt;&lt;keywords&gt;&lt;keyword&gt;Arf&lt;/keyword&gt;&lt;keyword&gt;creatine kinase&lt;/keyword&gt;&lt;keyword&gt;encephalitis&lt;/keyword&gt;&lt;keyword&gt;flavivirus&lt;/keyword&gt;&lt;keyword&gt;myositis quadriparesis&lt;/keyword&gt;&lt;/keywords&gt;&lt;dates&gt;&lt;year&gt;2010&lt;/year&gt;&lt;pub-dates&gt;&lt;date&gt;Jul&lt;/date&gt;&lt;/pub-dates&gt;&lt;/dates&gt;&lt;isbn&gt;0972-2327 (Print)&amp;#xD;0972-2327&lt;/isbn&gt;&lt;accession-num&gt;21085538&lt;/accession-num&gt;&lt;urls&gt;&lt;/urls&gt;&lt;custom2&gt;PMC2981765&lt;/custom2&gt;&lt;electronic-resource-num&gt;10.4103/0972-2327.70882&lt;/electronic-resource-num&gt;&lt;remote-database-provider&gt;NLM&lt;/remote-database-provider&gt;&lt;language&gt;eng&lt;/language&gt;&lt;/record&gt;&lt;/Cite&gt;&lt;/EndNote&gt;</w:instrText>
      </w:r>
      <w:r w:rsidR="00627301" w:rsidRPr="00B674CF">
        <w:rPr>
          <w:rFonts w:eastAsiaTheme="minorHAnsi"/>
          <w:kern w:val="2"/>
          <w:sz w:val="22"/>
          <w:szCs w:val="22"/>
          <w:vertAlign w:val="superscript"/>
          <w14:ligatures w14:val="standardContextual"/>
        </w:rPr>
        <w:fldChar w:fldCharType="separate"/>
      </w:r>
      <w:r w:rsidR="00CD2508" w:rsidRPr="00B674CF">
        <w:rPr>
          <w:rFonts w:eastAsiaTheme="minorHAnsi"/>
          <w:noProof/>
          <w:kern w:val="2"/>
          <w:sz w:val="22"/>
          <w:szCs w:val="22"/>
          <w:vertAlign w:val="superscript"/>
          <w14:ligatures w14:val="standardContextual"/>
        </w:rPr>
        <w:t>18</w:t>
      </w:r>
      <w:r w:rsidR="00627301" w:rsidRPr="00B674CF">
        <w:rPr>
          <w:rFonts w:eastAsiaTheme="minorHAnsi"/>
          <w:kern w:val="2"/>
          <w:sz w:val="22"/>
          <w:szCs w:val="22"/>
          <w:vertAlign w:val="superscript"/>
          <w14:ligatures w14:val="standardContextual"/>
        </w:rPr>
        <w:fldChar w:fldCharType="end"/>
      </w:r>
    </w:p>
    <w:p w14:paraId="14AEB6E9" w14:textId="254D2747" w:rsidR="006B37E4" w:rsidRPr="00B674CF" w:rsidRDefault="006B37E4" w:rsidP="00B674CF">
      <w:pPr>
        <w:pStyle w:val="ds-markdown-paragraph"/>
        <w:shd w:val="clear" w:color="auto" w:fill="FFFFFF"/>
        <w:spacing w:before="0" w:beforeAutospacing="0" w:after="0" w:afterAutospacing="0" w:line="360" w:lineRule="auto"/>
        <w:jc w:val="both"/>
        <w:rPr>
          <w:rFonts w:eastAsiaTheme="minorHAnsi"/>
          <w:kern w:val="2"/>
          <w:sz w:val="22"/>
          <w:szCs w:val="22"/>
          <w14:ligatures w14:val="standardContextual"/>
        </w:rPr>
      </w:pPr>
      <w:r w:rsidRPr="00B674CF">
        <w:rPr>
          <w:rFonts w:eastAsiaTheme="minorHAnsi"/>
          <w:kern w:val="2"/>
          <w:sz w:val="22"/>
          <w:szCs w:val="22"/>
          <w14:ligatures w14:val="standardContextual"/>
        </w:rPr>
        <w:t xml:space="preserve">The above cases highlight the importance of recognizing the complications of dengue fever, with rhabdomyolysis being a rare but fatal one. We recommend observation and counselling of </w:t>
      </w:r>
      <w:proofErr w:type="gramStart"/>
      <w:r w:rsidRPr="00B674CF">
        <w:rPr>
          <w:rFonts w:eastAsiaTheme="minorHAnsi"/>
          <w:kern w:val="2"/>
          <w:sz w:val="22"/>
          <w:szCs w:val="22"/>
          <w14:ligatures w14:val="standardContextual"/>
        </w:rPr>
        <w:t>at risk</w:t>
      </w:r>
      <w:proofErr w:type="gramEnd"/>
      <w:r w:rsidRPr="00B674CF">
        <w:rPr>
          <w:rFonts w:eastAsiaTheme="minorHAnsi"/>
          <w:kern w:val="2"/>
          <w:sz w:val="22"/>
          <w:szCs w:val="22"/>
          <w14:ligatures w14:val="standardContextual"/>
        </w:rPr>
        <w:t xml:space="preserve"> patients, </w:t>
      </w:r>
      <w:r w:rsidR="005A5CC5" w:rsidRPr="00B674CF">
        <w:rPr>
          <w:rFonts w:eastAsiaTheme="minorHAnsi"/>
          <w:kern w:val="2"/>
          <w:sz w:val="22"/>
          <w:szCs w:val="22"/>
          <w14:ligatures w14:val="standardContextual"/>
        </w:rPr>
        <w:t xml:space="preserve">as muscle weakness, tenderness, painful movements or passing red colored urine may herald a possible outcome of rhabdomyolysis. CPK levels are crucial in such settings as they are significantly elevated in these patients. </w:t>
      </w:r>
    </w:p>
    <w:p w14:paraId="702F68B8" w14:textId="5AF6B25A" w:rsidR="00DD5619" w:rsidRPr="00B674CF" w:rsidRDefault="00BB525C" w:rsidP="00B674CF">
      <w:pPr>
        <w:pStyle w:val="ds-markdown-paragraph"/>
        <w:shd w:val="clear" w:color="auto" w:fill="FFFFFF"/>
        <w:spacing w:before="0" w:beforeAutospacing="0" w:after="0" w:afterAutospacing="0" w:line="360" w:lineRule="auto"/>
        <w:jc w:val="both"/>
        <w:rPr>
          <w:rFonts w:eastAsiaTheme="minorHAnsi"/>
          <w:kern w:val="2"/>
          <w:sz w:val="22"/>
          <w:szCs w:val="22"/>
          <w:vertAlign w:val="superscript"/>
          <w14:ligatures w14:val="standardContextual"/>
        </w:rPr>
      </w:pPr>
      <w:r w:rsidRPr="00B674CF">
        <w:rPr>
          <w:rFonts w:eastAsiaTheme="minorHAnsi"/>
          <w:kern w:val="2"/>
          <w:sz w:val="22"/>
          <w:szCs w:val="22"/>
          <w14:ligatures w14:val="standardContextual"/>
        </w:rPr>
        <w:t xml:space="preserve">Although none of our patients had electrolyte imbalance, </w:t>
      </w:r>
      <w:proofErr w:type="spellStart"/>
      <w:r w:rsidRPr="00B674CF">
        <w:rPr>
          <w:rFonts w:eastAsiaTheme="minorHAnsi"/>
          <w:kern w:val="2"/>
          <w:sz w:val="22"/>
          <w:szCs w:val="22"/>
          <w14:ligatures w14:val="standardContextual"/>
        </w:rPr>
        <w:t>hypokalaemia</w:t>
      </w:r>
      <w:proofErr w:type="spellEnd"/>
      <w:r w:rsidRPr="00B674CF">
        <w:rPr>
          <w:rFonts w:eastAsiaTheme="minorHAnsi"/>
          <w:kern w:val="2"/>
          <w:sz w:val="22"/>
          <w:szCs w:val="22"/>
          <w14:ligatures w14:val="standardContextual"/>
        </w:rPr>
        <w:t xml:space="preserve"> have been found in many patients with dengue elsewhere, rarely associated with acute flaccid paralysis, </w:t>
      </w:r>
      <w:r w:rsidR="00FC5F1F" w:rsidRPr="00B674CF">
        <w:rPr>
          <w:rFonts w:eastAsiaTheme="minorHAnsi"/>
          <w:kern w:val="2"/>
          <w:sz w:val="22"/>
          <w:szCs w:val="22"/>
          <w14:ligatures w14:val="standardContextual"/>
        </w:rPr>
        <w:t xml:space="preserve">Hira et al. in a study in India reports that out of 88 patients admitted </w:t>
      </w:r>
      <w:r w:rsidR="009E402B" w:rsidRPr="00B674CF">
        <w:rPr>
          <w:rFonts w:eastAsiaTheme="minorHAnsi"/>
          <w:kern w:val="2"/>
          <w:sz w:val="22"/>
          <w:szCs w:val="22"/>
          <w14:ligatures w14:val="standardContextual"/>
        </w:rPr>
        <w:t>to dengue ward</w:t>
      </w:r>
      <w:r w:rsidR="00FC5F1F" w:rsidRPr="00B674CF">
        <w:rPr>
          <w:rFonts w:eastAsiaTheme="minorHAnsi"/>
          <w:kern w:val="2"/>
          <w:sz w:val="22"/>
          <w:szCs w:val="22"/>
          <w14:ligatures w14:val="standardContextual"/>
        </w:rPr>
        <w:t xml:space="preserve">, 12 had neuromuscular weakness and </w:t>
      </w:r>
      <w:r w:rsidR="009E402B" w:rsidRPr="00B674CF">
        <w:rPr>
          <w:rFonts w:eastAsiaTheme="minorHAnsi"/>
          <w:kern w:val="2"/>
          <w:sz w:val="22"/>
          <w:szCs w:val="22"/>
          <w14:ligatures w14:val="standardContextual"/>
        </w:rPr>
        <w:t xml:space="preserve">10 </w:t>
      </w:r>
      <w:r w:rsidR="00FC5F1F" w:rsidRPr="00B674CF">
        <w:rPr>
          <w:rFonts w:eastAsiaTheme="minorHAnsi"/>
          <w:kern w:val="2"/>
          <w:sz w:val="22"/>
          <w:szCs w:val="22"/>
          <w14:ligatures w14:val="standardContextual"/>
        </w:rPr>
        <w:t xml:space="preserve">had some degree of hypokalemia, </w:t>
      </w:r>
      <w:r w:rsidR="009E402B" w:rsidRPr="00B674CF">
        <w:rPr>
          <w:rFonts w:eastAsiaTheme="minorHAnsi"/>
          <w:kern w:val="2"/>
          <w:sz w:val="22"/>
          <w:szCs w:val="22"/>
          <w14:ligatures w14:val="standardContextual"/>
        </w:rPr>
        <w:t xml:space="preserve">including 2 with severe (&lt; 2.50 </w:t>
      </w:r>
      <w:proofErr w:type="spellStart"/>
      <w:r w:rsidR="009E402B" w:rsidRPr="00B674CF">
        <w:rPr>
          <w:rFonts w:eastAsiaTheme="minorHAnsi"/>
          <w:kern w:val="2"/>
          <w:sz w:val="22"/>
          <w:szCs w:val="22"/>
          <w14:ligatures w14:val="standardContextual"/>
        </w:rPr>
        <w:t>mEq</w:t>
      </w:r>
      <w:proofErr w:type="spellEnd"/>
      <w:r w:rsidR="009E402B" w:rsidRPr="00B674CF">
        <w:rPr>
          <w:rFonts w:eastAsiaTheme="minorHAnsi"/>
          <w:kern w:val="2"/>
          <w:sz w:val="22"/>
          <w:szCs w:val="22"/>
          <w14:ligatures w14:val="standardContextual"/>
        </w:rPr>
        <w:t>/L).</w:t>
      </w:r>
      <w:r w:rsidR="00627301" w:rsidRPr="00B674CF">
        <w:rPr>
          <w:rFonts w:eastAsiaTheme="minorHAnsi"/>
          <w:kern w:val="2"/>
          <w:sz w:val="22"/>
          <w:szCs w:val="22"/>
          <w14:ligatures w14:val="standardContextual"/>
        </w:rPr>
        <w:t xml:space="preserve"> </w:t>
      </w:r>
      <w:r w:rsidR="00627301" w:rsidRPr="00B674CF">
        <w:rPr>
          <w:rFonts w:eastAsiaTheme="minorHAnsi"/>
          <w:kern w:val="2"/>
          <w:sz w:val="22"/>
          <w:szCs w:val="22"/>
          <w:vertAlign w:val="superscript"/>
          <w14:ligatures w14:val="standardContextual"/>
        </w:rPr>
        <w:fldChar w:fldCharType="begin"/>
      </w:r>
      <w:r w:rsidR="00CD2508" w:rsidRPr="00B674CF">
        <w:rPr>
          <w:rFonts w:eastAsiaTheme="minorHAnsi"/>
          <w:kern w:val="2"/>
          <w:sz w:val="22"/>
          <w:szCs w:val="22"/>
          <w:vertAlign w:val="superscript"/>
          <w14:ligatures w14:val="standardContextual"/>
        </w:rPr>
        <w:instrText xml:space="preserve"> ADDIN EN.CITE &lt;EndNote&gt;&lt;Cite&gt;&lt;Author&gt;Hira&lt;/Author&gt;&lt;Year&gt;2012&lt;/Year&gt;&lt;RecNum&gt;17&lt;/RecNum&gt;&lt;DisplayText&gt;19&lt;/DisplayText&gt;&lt;record&gt;&lt;rec-number&gt;17&lt;/rec-number&gt;&lt;foreign-keys&gt;&lt;key app="EN" db-id="02z25wdvbps9aiez5zrpdvwaxrsa5et0rw9z" timestamp="1756713400"&gt;17&lt;/key&gt;&lt;/foreign-keys&gt;&lt;ref-type name="Journal Article"&gt;17&lt;/ref-type&gt;&lt;contributors&gt;&lt;authors&gt;&lt;author&gt;Hira, H. S.&lt;/author&gt;&lt;author&gt;Kaur, A.&lt;/author&gt;&lt;author&gt;Shukla, A.&lt;/author&gt;&lt;/authors&gt;&lt;/contributors&gt;&lt;auth-address&gt;Department of Pulmonary Medicine, Maulana Azad Medical College and Lok Nayak Hospital, New Delhi, India.&lt;/auth-address&gt;&lt;titles&gt;&lt;title&gt;Acute neuromuscular weakness associated with dengue infection&lt;/title&gt;&lt;secondary-title&gt;J Neurosci Rural Pract&lt;/secondary-title&gt;&lt;/titles&gt;&lt;periodical&gt;&lt;full-title&gt;J Neurosci Rural Pract&lt;/full-title&gt;&lt;/periodical&gt;&lt;pages&gt;36-9&lt;/pages&gt;&lt;volume&gt;3&lt;/volume&gt;&lt;number&gt;1&lt;/number&gt;&lt;edition&gt;2012/02/22&lt;/edition&gt;&lt;keywords&gt;&lt;keyword&gt;Dengue infection&lt;/keyword&gt;&lt;keyword&gt;hypokalemia&lt;/keyword&gt;&lt;keyword&gt;motor weakness&lt;/keyword&gt;&lt;/keywords&gt;&lt;dates&gt;&lt;year&gt;2012&lt;/year&gt;&lt;pub-dates&gt;&lt;date&gt;Jan&lt;/date&gt;&lt;/pub-dates&gt;&lt;/dates&gt;&lt;isbn&gt;0976-3147 (Print)&amp;#xD;0976-3155&lt;/isbn&gt;&lt;accession-num&gt;22346188&lt;/accession-num&gt;&lt;urls&gt;&lt;/urls&gt;&lt;custom2&gt;PMC3271610&lt;/custom2&gt;&lt;electronic-resource-num&gt;10.4103/0976-3147.91928&lt;/electronic-resource-num&gt;&lt;remote-database-provider&gt;NLM&lt;/remote-database-provider&gt;&lt;language&gt;eng&lt;/language&gt;&lt;/record&gt;&lt;/Cite&gt;&lt;/EndNote&gt;</w:instrText>
      </w:r>
      <w:r w:rsidR="00627301" w:rsidRPr="00B674CF">
        <w:rPr>
          <w:rFonts w:eastAsiaTheme="minorHAnsi"/>
          <w:kern w:val="2"/>
          <w:sz w:val="22"/>
          <w:szCs w:val="22"/>
          <w:vertAlign w:val="superscript"/>
          <w14:ligatures w14:val="standardContextual"/>
        </w:rPr>
        <w:fldChar w:fldCharType="separate"/>
      </w:r>
      <w:r w:rsidR="00CD2508" w:rsidRPr="00B674CF">
        <w:rPr>
          <w:rFonts w:eastAsiaTheme="minorHAnsi"/>
          <w:noProof/>
          <w:kern w:val="2"/>
          <w:sz w:val="22"/>
          <w:szCs w:val="22"/>
          <w:vertAlign w:val="superscript"/>
          <w14:ligatures w14:val="standardContextual"/>
        </w:rPr>
        <w:t>19</w:t>
      </w:r>
      <w:r w:rsidR="00627301" w:rsidRPr="00B674CF">
        <w:rPr>
          <w:rFonts w:eastAsiaTheme="minorHAnsi"/>
          <w:kern w:val="2"/>
          <w:sz w:val="22"/>
          <w:szCs w:val="22"/>
          <w:vertAlign w:val="superscript"/>
          <w14:ligatures w14:val="standardContextual"/>
        </w:rPr>
        <w:fldChar w:fldCharType="end"/>
      </w:r>
      <w:r w:rsidR="009E402B" w:rsidRPr="00B674CF">
        <w:rPr>
          <w:rFonts w:eastAsiaTheme="minorHAnsi"/>
          <w:kern w:val="2"/>
          <w:sz w:val="22"/>
          <w:szCs w:val="22"/>
          <w14:ligatures w14:val="standardContextual"/>
        </w:rPr>
        <w:t xml:space="preserve"> </w:t>
      </w:r>
      <w:r w:rsidR="00C80DD6" w:rsidRPr="00B674CF">
        <w:rPr>
          <w:rFonts w:eastAsiaTheme="minorHAnsi"/>
          <w:kern w:val="2"/>
          <w:sz w:val="22"/>
          <w:szCs w:val="22"/>
          <w14:ligatures w14:val="standardContextual"/>
        </w:rPr>
        <w:t xml:space="preserve">Kayal et al. in a study in northeast India assessed 56 patients who presented with acute flaccid paralysis and hypokalemia, only 1 had confirmed dengue infection. In the above cases of hypokalemic paralysis, </w:t>
      </w:r>
      <w:r w:rsidR="001177E5" w:rsidRPr="00B674CF">
        <w:rPr>
          <w:rFonts w:eastAsiaTheme="minorHAnsi"/>
          <w:kern w:val="2"/>
          <w:sz w:val="22"/>
          <w:szCs w:val="22"/>
          <w14:ligatures w14:val="standardContextual"/>
        </w:rPr>
        <w:t>nearly all</w:t>
      </w:r>
      <w:r w:rsidR="00C80DD6" w:rsidRPr="00B674CF">
        <w:rPr>
          <w:rFonts w:eastAsiaTheme="minorHAnsi"/>
          <w:kern w:val="2"/>
          <w:sz w:val="22"/>
          <w:szCs w:val="22"/>
          <w14:ligatures w14:val="standardContextual"/>
        </w:rPr>
        <w:t xml:space="preserve"> responded significantly to potassium supplementation, with the weakness resolving within 24 hrs. </w:t>
      </w:r>
      <w:r w:rsidR="00627301" w:rsidRPr="00B674CF">
        <w:rPr>
          <w:rFonts w:eastAsiaTheme="minorHAnsi"/>
          <w:kern w:val="2"/>
          <w:sz w:val="22"/>
          <w:szCs w:val="22"/>
          <w:vertAlign w:val="superscript"/>
          <w14:ligatures w14:val="standardContextual"/>
        </w:rPr>
        <w:fldChar w:fldCharType="begin"/>
      </w:r>
      <w:r w:rsidR="00CD2508" w:rsidRPr="00B674CF">
        <w:rPr>
          <w:rFonts w:eastAsiaTheme="minorHAnsi"/>
          <w:kern w:val="2"/>
          <w:sz w:val="22"/>
          <w:szCs w:val="22"/>
          <w:vertAlign w:val="superscript"/>
          <w14:ligatures w14:val="standardContextual"/>
        </w:rPr>
        <w:instrText xml:space="preserve"> ADDIN EN.CITE &lt;EndNote&gt;&lt;Cite&gt;&lt;Author&gt;Kayal&lt;/Author&gt;&lt;Year&gt;2013&lt;/Year&gt;&lt;RecNum&gt;16&lt;/RecNum&gt;&lt;DisplayText&gt;20&lt;/DisplayText&gt;&lt;record&gt;&lt;rec-number&gt;16&lt;/rec-number&gt;&lt;foreign-keys&gt;&lt;key app="EN" db-id="02z25wdvbps9aiez5zrpdvwaxrsa5et0rw9z" timestamp="1756713382"&gt;16&lt;/key&gt;&lt;/foreign-keys&gt;&lt;ref-type name="Journal Article"&gt;17&lt;/ref-type&gt;&lt;contributors&gt;&lt;authors&gt;&lt;author&gt;Kayal, A. K.&lt;/author&gt;&lt;author&gt;Goswami, M.&lt;/author&gt;&lt;author&gt;Das, M.&lt;/author&gt;&lt;author&gt;Jain, R.&lt;/author&gt;&lt;/authors&gt;&lt;/contributors&gt;&lt;auth-address&gt;Department of Neurology, Gauhati Medical College, Guwahati, Assam, India.&lt;/auth-address&gt;&lt;titles&gt;&lt;title&gt;Clinical and biochemical spectrum of hypokalemic paralysis in North: East India&lt;/title&gt;&lt;secondary-title&gt;Ann Indian Acad Neurol&lt;/secondary-title&gt;&lt;/titles&gt;&lt;periodical&gt;&lt;full-title&gt;Ann Indian Acad Neurol&lt;/full-title&gt;&lt;/periodical&gt;&lt;pages&gt;211-7&lt;/pages&gt;&lt;volume&gt;16&lt;/volume&gt;&lt;number&gt;2&lt;/number&gt;&lt;edition&gt;2013/08/21&lt;/edition&gt;&lt;keywords&gt;&lt;keyword&gt;Hypokalemia&lt;/keyword&gt;&lt;keyword&gt;paralysis&lt;/keyword&gt;&lt;keyword&gt;secondary causes&lt;/keyword&gt;&lt;/keywords&gt;&lt;dates&gt;&lt;year&gt;2013&lt;/year&gt;&lt;pub-dates&gt;&lt;date&gt;Apr&lt;/date&gt;&lt;/pub-dates&gt;&lt;/dates&gt;&lt;isbn&gt;0972-2327 (Print)&amp;#xD;0972-2327&lt;/isbn&gt;&lt;accession-num&gt;23956566&lt;/accession-num&gt;&lt;urls&gt;&lt;/urls&gt;&lt;custom2&gt;PMC3724076&lt;/custom2&gt;&lt;electronic-resource-num&gt;10.4103/0972-2327.112469&lt;/electronic-resource-num&gt;&lt;remote-database-provider&gt;NLM&lt;/remote-database-provider&gt;&lt;language&gt;eng&lt;/language&gt;&lt;/record&gt;&lt;/Cite&gt;&lt;/EndNote&gt;</w:instrText>
      </w:r>
      <w:r w:rsidR="00627301" w:rsidRPr="00B674CF">
        <w:rPr>
          <w:rFonts w:eastAsiaTheme="minorHAnsi"/>
          <w:kern w:val="2"/>
          <w:sz w:val="22"/>
          <w:szCs w:val="22"/>
          <w:vertAlign w:val="superscript"/>
          <w14:ligatures w14:val="standardContextual"/>
        </w:rPr>
        <w:fldChar w:fldCharType="separate"/>
      </w:r>
      <w:r w:rsidR="00CD2508" w:rsidRPr="00B674CF">
        <w:rPr>
          <w:rFonts w:eastAsiaTheme="minorHAnsi"/>
          <w:noProof/>
          <w:kern w:val="2"/>
          <w:sz w:val="22"/>
          <w:szCs w:val="22"/>
          <w:vertAlign w:val="superscript"/>
          <w14:ligatures w14:val="standardContextual"/>
        </w:rPr>
        <w:t>20</w:t>
      </w:r>
      <w:r w:rsidR="00627301" w:rsidRPr="00B674CF">
        <w:rPr>
          <w:rFonts w:eastAsiaTheme="minorHAnsi"/>
          <w:kern w:val="2"/>
          <w:sz w:val="22"/>
          <w:szCs w:val="22"/>
          <w:vertAlign w:val="superscript"/>
          <w14:ligatures w14:val="standardContextual"/>
        </w:rPr>
        <w:fldChar w:fldCharType="end"/>
      </w:r>
    </w:p>
    <w:p w14:paraId="4D45B0A8" w14:textId="0EAEC739" w:rsidR="002C4F46" w:rsidRPr="00B674CF" w:rsidRDefault="0089745B" w:rsidP="00B674CF">
      <w:pPr>
        <w:pStyle w:val="ds-markdown-paragraph"/>
        <w:shd w:val="clear" w:color="auto" w:fill="FFFFFF"/>
        <w:spacing w:before="0" w:beforeAutospacing="0" w:after="0" w:afterAutospacing="0" w:line="360" w:lineRule="auto"/>
        <w:jc w:val="both"/>
        <w:rPr>
          <w:rFonts w:eastAsiaTheme="minorHAnsi"/>
          <w:kern w:val="2"/>
          <w:sz w:val="22"/>
          <w:szCs w:val="22"/>
          <w14:ligatures w14:val="standardContextual"/>
        </w:rPr>
      </w:pPr>
      <w:r w:rsidRPr="00B674CF">
        <w:rPr>
          <w:rFonts w:eastAsiaTheme="minorHAnsi"/>
          <w:kern w:val="2"/>
          <w:sz w:val="22"/>
          <w:szCs w:val="22"/>
          <w14:ligatures w14:val="standardContextual"/>
        </w:rPr>
        <w:t xml:space="preserve">Our study has limitations. </w:t>
      </w:r>
      <w:r w:rsidR="008E7E1F" w:rsidRPr="00B674CF">
        <w:rPr>
          <w:rFonts w:eastAsiaTheme="minorHAnsi"/>
          <w:kern w:val="2"/>
          <w:sz w:val="22"/>
          <w:szCs w:val="22"/>
          <w14:ligatures w14:val="standardContextual"/>
        </w:rPr>
        <w:t xml:space="preserve">The main interest of this study is the involvement of skeletal muscle. We did not include the possible effects of dengue on smooth and cardiac muscles, including myocarditis and autonomic dysfunction, and these should be evaluated in future studies. Our study </w:t>
      </w:r>
      <w:r w:rsidRPr="00B674CF">
        <w:rPr>
          <w:rFonts w:eastAsiaTheme="minorHAnsi"/>
          <w:kern w:val="2"/>
          <w:sz w:val="22"/>
          <w:szCs w:val="22"/>
          <w14:ligatures w14:val="standardContextual"/>
        </w:rPr>
        <w:t xml:space="preserve">was conducted at a single center with a modest sample size, which may limit generalizability. The cross-sectional design precludes causal </w:t>
      </w:r>
      <w:r w:rsidRPr="00B674CF">
        <w:rPr>
          <w:rFonts w:eastAsiaTheme="minorHAnsi"/>
          <w:kern w:val="2"/>
          <w:sz w:val="22"/>
          <w:szCs w:val="22"/>
          <w14:ligatures w14:val="standardContextual"/>
        </w:rPr>
        <w:lastRenderedPageBreak/>
        <w:t>inference. The findings provide important preliminary evidence and highlight the need for larger multicenter studies.</w:t>
      </w:r>
    </w:p>
    <w:p w14:paraId="5F1CF23B" w14:textId="1FC47F4A" w:rsidR="0007199B" w:rsidRPr="00B674CF" w:rsidRDefault="002C4F46" w:rsidP="00B674CF">
      <w:pPr>
        <w:pStyle w:val="ds-markdown-paragraph"/>
        <w:shd w:val="clear" w:color="auto" w:fill="FFFFFF"/>
        <w:spacing w:before="0" w:beforeAutospacing="0" w:after="0" w:afterAutospacing="0" w:line="360" w:lineRule="auto"/>
        <w:jc w:val="both"/>
        <w:rPr>
          <w:rFonts w:eastAsiaTheme="minorHAnsi"/>
          <w:kern w:val="2"/>
          <w:sz w:val="22"/>
          <w:szCs w:val="22"/>
          <w14:ligatures w14:val="standardContextual"/>
        </w:rPr>
      </w:pPr>
      <w:r w:rsidRPr="00B674CF">
        <w:rPr>
          <w:rFonts w:eastAsiaTheme="minorHAnsi"/>
          <w:b/>
          <w:bCs/>
          <w:kern w:val="2"/>
          <w:sz w:val="22"/>
          <w:szCs w:val="22"/>
          <w14:ligatures w14:val="standardContextual"/>
        </w:rPr>
        <w:t>Conclusion</w:t>
      </w:r>
      <w:r w:rsidR="00B674CF" w:rsidRPr="00B674CF">
        <w:rPr>
          <w:rFonts w:eastAsiaTheme="minorHAnsi"/>
          <w:b/>
          <w:bCs/>
          <w:kern w:val="2"/>
          <w:sz w:val="22"/>
          <w:szCs w:val="22"/>
          <w14:ligatures w14:val="standardContextual"/>
        </w:rPr>
        <w:t xml:space="preserve">: </w:t>
      </w:r>
      <w:r w:rsidR="0089745B" w:rsidRPr="00B674CF">
        <w:rPr>
          <w:rFonts w:eastAsiaTheme="minorHAnsi"/>
          <w:kern w:val="2"/>
          <w:sz w:val="22"/>
          <w:szCs w:val="22"/>
          <w14:ligatures w14:val="standardContextual"/>
        </w:rPr>
        <w:t>In conclusion, muscular complications, including rhabdomyolysis and weakness, are associated with elevated CPK in dengue fever. Routine CPK monitoring should be considered in patients with dengue, particularly those presenting with muscle weakness, to facilitate early recognition and management of severe muscular involvement.</w:t>
      </w:r>
    </w:p>
    <w:p w14:paraId="1D88C318" w14:textId="2871B89F" w:rsidR="005073CE" w:rsidRPr="00A614B7" w:rsidRDefault="005073CE" w:rsidP="00B674CF">
      <w:pPr>
        <w:spacing w:after="0" w:line="240" w:lineRule="auto"/>
        <w:rPr>
          <w:rFonts w:ascii="Times New Roman" w:hAnsi="Times New Roman" w:cs="Times New Roman"/>
          <w:sz w:val="22"/>
        </w:rPr>
      </w:pPr>
      <w:r w:rsidRPr="00A614B7">
        <w:rPr>
          <w:rFonts w:ascii="Times New Roman" w:hAnsi="Times New Roman" w:cs="Times New Roman"/>
          <w:b/>
          <w:bCs/>
          <w:sz w:val="22"/>
        </w:rPr>
        <w:t xml:space="preserve">Ethical Approval: </w:t>
      </w:r>
      <w:r w:rsidRPr="00A614B7">
        <w:rPr>
          <w:rFonts w:ascii="Times New Roman" w:hAnsi="Times New Roman" w:cs="Times New Roman"/>
          <w:sz w:val="22"/>
        </w:rPr>
        <w:t xml:space="preserve">The IRB/EC </w:t>
      </w:r>
      <w:proofErr w:type="gramStart"/>
      <w:r w:rsidRPr="00A614B7">
        <w:rPr>
          <w:rFonts w:ascii="Times New Roman" w:hAnsi="Times New Roman" w:cs="Times New Roman"/>
          <w:sz w:val="22"/>
        </w:rPr>
        <w:t>approved</w:t>
      </w:r>
      <w:proofErr w:type="gramEnd"/>
      <w:r w:rsidRPr="00A614B7">
        <w:rPr>
          <w:rFonts w:ascii="Times New Roman" w:hAnsi="Times New Roman" w:cs="Times New Roman"/>
          <w:sz w:val="22"/>
        </w:rPr>
        <w:t xml:space="preserve"> this study via letter no. </w:t>
      </w:r>
      <w:r w:rsidR="00795B0F">
        <w:rPr>
          <w:rFonts w:ascii="Times New Roman" w:hAnsi="Times New Roman" w:cs="Times New Roman"/>
          <w:sz w:val="22"/>
        </w:rPr>
        <w:t xml:space="preserve">46/LRH/MTI dated </w:t>
      </w:r>
      <w:r w:rsidR="00926855">
        <w:rPr>
          <w:rFonts w:ascii="Times New Roman" w:hAnsi="Times New Roman" w:cs="Times New Roman"/>
          <w:sz w:val="22"/>
        </w:rPr>
        <w:t>January 17, 2025.</w:t>
      </w:r>
    </w:p>
    <w:p w14:paraId="22B140B8" w14:textId="77777777" w:rsidR="005073CE" w:rsidRPr="00A614B7" w:rsidRDefault="005073CE" w:rsidP="00B674CF">
      <w:pPr>
        <w:spacing w:after="0" w:line="240" w:lineRule="auto"/>
        <w:rPr>
          <w:rFonts w:ascii="Times New Roman" w:hAnsi="Times New Roman" w:cs="Times New Roman"/>
          <w:b/>
          <w:bCs/>
          <w:sz w:val="22"/>
        </w:rPr>
      </w:pPr>
      <w:r w:rsidRPr="00A614B7">
        <w:rPr>
          <w:rFonts w:ascii="Times New Roman" w:hAnsi="Times New Roman" w:cs="Times New Roman"/>
          <w:b/>
          <w:bCs/>
          <w:sz w:val="22"/>
        </w:rPr>
        <w:t xml:space="preserve">Conflict of Interest: </w:t>
      </w:r>
      <w:r w:rsidRPr="00A614B7">
        <w:rPr>
          <w:rFonts w:ascii="Times New Roman" w:hAnsi="Times New Roman" w:cs="Times New Roman"/>
          <w:b/>
          <w:bCs/>
          <w:sz w:val="22"/>
        </w:rPr>
        <w:tab/>
      </w:r>
      <w:r w:rsidRPr="00A614B7">
        <w:rPr>
          <w:rFonts w:ascii="Times New Roman" w:hAnsi="Times New Roman" w:cs="Times New Roman"/>
          <w:b/>
          <w:bCs/>
          <w:sz w:val="22"/>
        </w:rPr>
        <w:tab/>
      </w:r>
      <w:r w:rsidRPr="00A614B7">
        <w:rPr>
          <w:rFonts w:ascii="Times New Roman" w:hAnsi="Times New Roman" w:cs="Times New Roman"/>
          <w:b/>
          <w:bCs/>
          <w:sz w:val="22"/>
        </w:rPr>
        <w:tab/>
      </w:r>
      <w:r w:rsidRPr="00A614B7">
        <w:rPr>
          <w:rFonts w:ascii="Times New Roman" w:hAnsi="Times New Roman" w:cs="Times New Roman"/>
          <w:sz w:val="22"/>
        </w:rPr>
        <w:t>None</w:t>
      </w:r>
      <w:r w:rsidRPr="00A614B7">
        <w:rPr>
          <w:rFonts w:ascii="Times New Roman" w:hAnsi="Times New Roman" w:cs="Times New Roman"/>
          <w:b/>
          <w:bCs/>
          <w:sz w:val="22"/>
        </w:rPr>
        <w:t xml:space="preserve"> </w:t>
      </w:r>
    </w:p>
    <w:p w14:paraId="050C93E3" w14:textId="77777777" w:rsidR="005073CE" w:rsidRPr="00A614B7" w:rsidRDefault="005073CE" w:rsidP="00B674CF">
      <w:pPr>
        <w:spacing w:after="0" w:line="240" w:lineRule="auto"/>
        <w:rPr>
          <w:rFonts w:ascii="Times New Roman" w:hAnsi="Times New Roman" w:cs="Times New Roman"/>
          <w:b/>
          <w:bCs/>
          <w:sz w:val="22"/>
        </w:rPr>
      </w:pPr>
      <w:r w:rsidRPr="00A614B7">
        <w:rPr>
          <w:rFonts w:ascii="Times New Roman" w:hAnsi="Times New Roman" w:cs="Times New Roman"/>
          <w:b/>
          <w:bCs/>
          <w:sz w:val="22"/>
        </w:rPr>
        <w:t xml:space="preserve">Funding Source: </w:t>
      </w:r>
      <w:r w:rsidRPr="00A614B7">
        <w:rPr>
          <w:rFonts w:ascii="Times New Roman" w:hAnsi="Times New Roman" w:cs="Times New Roman"/>
          <w:b/>
          <w:bCs/>
          <w:sz w:val="22"/>
        </w:rPr>
        <w:tab/>
      </w:r>
      <w:r w:rsidRPr="00A614B7">
        <w:rPr>
          <w:rFonts w:ascii="Times New Roman" w:hAnsi="Times New Roman" w:cs="Times New Roman"/>
          <w:b/>
          <w:bCs/>
          <w:sz w:val="22"/>
        </w:rPr>
        <w:tab/>
      </w:r>
      <w:r w:rsidRPr="00A614B7">
        <w:rPr>
          <w:rFonts w:ascii="Times New Roman" w:hAnsi="Times New Roman" w:cs="Times New Roman"/>
          <w:b/>
          <w:bCs/>
          <w:sz w:val="22"/>
        </w:rPr>
        <w:tab/>
      </w:r>
      <w:r w:rsidRPr="00A614B7">
        <w:rPr>
          <w:rFonts w:ascii="Times New Roman" w:hAnsi="Times New Roman" w:cs="Times New Roman"/>
          <w:sz w:val="22"/>
        </w:rPr>
        <w:t xml:space="preserve">None </w:t>
      </w:r>
      <w:r w:rsidRPr="00A614B7">
        <w:rPr>
          <w:rFonts w:ascii="Times New Roman" w:hAnsi="Times New Roman" w:cs="Times New Roman"/>
          <w:b/>
          <w:bCs/>
          <w:sz w:val="22"/>
        </w:rPr>
        <w:t xml:space="preserve">  </w:t>
      </w:r>
    </w:p>
    <w:p w14:paraId="4E92120D" w14:textId="77777777" w:rsidR="005073CE" w:rsidRPr="00A614B7" w:rsidRDefault="005073CE" w:rsidP="00B674CF">
      <w:pPr>
        <w:spacing w:after="0" w:line="240" w:lineRule="auto"/>
        <w:rPr>
          <w:rFonts w:ascii="Times New Roman" w:hAnsi="Times New Roman" w:cs="Times New Roman"/>
          <w:b/>
          <w:bCs/>
          <w:sz w:val="22"/>
        </w:rPr>
      </w:pPr>
      <w:r w:rsidRPr="00A614B7">
        <w:rPr>
          <w:rFonts w:ascii="Times New Roman" w:hAnsi="Times New Roman" w:cs="Times New Roman"/>
          <w:b/>
          <w:bCs/>
          <w:sz w:val="22"/>
        </w:rPr>
        <w:t>Authors’ Contribution</w:t>
      </w:r>
    </w:p>
    <w:p w14:paraId="54CB6B77" w14:textId="77777777" w:rsidR="005073CE" w:rsidRPr="00A614B7" w:rsidRDefault="005073CE" w:rsidP="00B674CF">
      <w:pPr>
        <w:spacing w:after="0" w:line="240" w:lineRule="auto"/>
        <w:rPr>
          <w:rFonts w:ascii="Times New Roman" w:hAnsi="Times New Roman" w:cs="Times New Roman"/>
          <w:sz w:val="22"/>
        </w:rPr>
      </w:pPr>
      <w:r w:rsidRPr="00A614B7">
        <w:rPr>
          <w:rFonts w:ascii="Times New Roman" w:hAnsi="Times New Roman" w:cs="Times New Roman"/>
          <w:sz w:val="22"/>
        </w:rPr>
        <w:t xml:space="preserve">AM: Conception. </w:t>
      </w:r>
    </w:p>
    <w:p w14:paraId="1AE69FE8" w14:textId="77777777" w:rsidR="005073CE" w:rsidRPr="00A614B7" w:rsidRDefault="005073CE" w:rsidP="00B674CF">
      <w:pPr>
        <w:spacing w:after="0" w:line="240" w:lineRule="auto"/>
        <w:rPr>
          <w:rFonts w:ascii="Times New Roman" w:hAnsi="Times New Roman" w:cs="Times New Roman"/>
          <w:sz w:val="22"/>
        </w:rPr>
      </w:pPr>
      <w:r w:rsidRPr="00A614B7">
        <w:rPr>
          <w:rFonts w:ascii="Times New Roman" w:hAnsi="Times New Roman" w:cs="Times New Roman"/>
          <w:sz w:val="22"/>
        </w:rPr>
        <w:t>SZ: Design of the work.</w:t>
      </w:r>
    </w:p>
    <w:p w14:paraId="1C913B6F" w14:textId="77777777" w:rsidR="005073CE" w:rsidRPr="00A614B7" w:rsidRDefault="005073CE" w:rsidP="00B674CF">
      <w:pPr>
        <w:spacing w:after="0" w:line="240" w:lineRule="auto"/>
        <w:rPr>
          <w:rFonts w:ascii="Times New Roman" w:hAnsi="Times New Roman" w:cs="Times New Roman"/>
          <w:sz w:val="22"/>
        </w:rPr>
      </w:pPr>
      <w:proofErr w:type="spellStart"/>
      <w:r w:rsidRPr="00A614B7">
        <w:rPr>
          <w:rFonts w:ascii="Times New Roman" w:hAnsi="Times New Roman" w:cs="Times New Roman"/>
          <w:sz w:val="22"/>
        </w:rPr>
        <w:t>AMa</w:t>
      </w:r>
      <w:proofErr w:type="spellEnd"/>
      <w:r w:rsidRPr="00A614B7">
        <w:rPr>
          <w:rFonts w:ascii="Times New Roman" w:hAnsi="Times New Roman" w:cs="Times New Roman"/>
          <w:sz w:val="22"/>
        </w:rPr>
        <w:t xml:space="preserve">, H: Data acquisition, analysis, or interpretation. </w:t>
      </w:r>
    </w:p>
    <w:p w14:paraId="0AA1D4FD" w14:textId="77777777" w:rsidR="005073CE" w:rsidRPr="00A614B7" w:rsidRDefault="005073CE" w:rsidP="00B674CF">
      <w:pPr>
        <w:spacing w:after="0" w:line="240" w:lineRule="auto"/>
        <w:rPr>
          <w:rFonts w:ascii="Times New Roman" w:hAnsi="Times New Roman" w:cs="Times New Roman"/>
          <w:sz w:val="22"/>
        </w:rPr>
      </w:pPr>
      <w:r w:rsidRPr="00A614B7">
        <w:rPr>
          <w:rFonts w:ascii="Times New Roman" w:hAnsi="Times New Roman" w:cs="Times New Roman"/>
          <w:sz w:val="22"/>
        </w:rPr>
        <w:t xml:space="preserve">AM, </w:t>
      </w:r>
      <w:proofErr w:type="spellStart"/>
      <w:r w:rsidRPr="00A614B7">
        <w:rPr>
          <w:rFonts w:ascii="Times New Roman" w:hAnsi="Times New Roman" w:cs="Times New Roman"/>
          <w:sz w:val="22"/>
        </w:rPr>
        <w:t>AMa</w:t>
      </w:r>
      <w:proofErr w:type="spellEnd"/>
      <w:r w:rsidRPr="00A614B7">
        <w:rPr>
          <w:rFonts w:ascii="Times New Roman" w:hAnsi="Times New Roman" w:cs="Times New Roman"/>
          <w:sz w:val="22"/>
        </w:rPr>
        <w:t>, H: Draft the work.</w:t>
      </w:r>
    </w:p>
    <w:p w14:paraId="7D74A235" w14:textId="77777777" w:rsidR="005073CE" w:rsidRPr="00A614B7" w:rsidRDefault="005073CE" w:rsidP="00B674CF">
      <w:pPr>
        <w:spacing w:after="0" w:line="240" w:lineRule="auto"/>
        <w:rPr>
          <w:rFonts w:ascii="Times New Roman" w:hAnsi="Times New Roman" w:cs="Times New Roman"/>
          <w:sz w:val="22"/>
        </w:rPr>
      </w:pPr>
      <w:r w:rsidRPr="00A614B7">
        <w:rPr>
          <w:rFonts w:ascii="Times New Roman" w:hAnsi="Times New Roman" w:cs="Times New Roman"/>
          <w:sz w:val="22"/>
        </w:rPr>
        <w:t>SZ: Review critically for important intellectual content.</w:t>
      </w:r>
    </w:p>
    <w:p w14:paraId="7E7FC336" w14:textId="77777777" w:rsidR="005073CE" w:rsidRPr="00A614B7" w:rsidRDefault="005073CE" w:rsidP="00B674CF">
      <w:pPr>
        <w:spacing w:after="0" w:line="240" w:lineRule="auto"/>
        <w:rPr>
          <w:rFonts w:ascii="Times New Roman" w:hAnsi="Times New Roman" w:cs="Times New Roman"/>
          <w:sz w:val="22"/>
        </w:rPr>
      </w:pPr>
      <w:r w:rsidRPr="00A614B7">
        <w:rPr>
          <w:rFonts w:ascii="Times New Roman" w:hAnsi="Times New Roman" w:cs="Times New Roman"/>
          <w:sz w:val="22"/>
        </w:rPr>
        <w:t>All authors approve the version to be published.</w:t>
      </w:r>
    </w:p>
    <w:p w14:paraId="018103C3" w14:textId="0670E77B" w:rsidR="0007199B" w:rsidRPr="00B674CF" w:rsidRDefault="005073CE" w:rsidP="00B674CF">
      <w:pPr>
        <w:pStyle w:val="ds-markdown-paragraph"/>
        <w:shd w:val="clear" w:color="auto" w:fill="FFFFFF"/>
        <w:spacing w:before="0" w:beforeAutospacing="0" w:after="0" w:afterAutospacing="0" w:line="360" w:lineRule="auto"/>
        <w:jc w:val="both"/>
        <w:rPr>
          <w:rFonts w:eastAsiaTheme="minorHAnsi"/>
          <w:kern w:val="2"/>
          <w:sz w:val="22"/>
          <w:szCs w:val="22"/>
          <w14:ligatures w14:val="standardContextual"/>
        </w:rPr>
      </w:pPr>
      <w:r w:rsidRPr="00A614B7">
        <w:rPr>
          <w:sz w:val="22"/>
        </w:rPr>
        <w:t>All authors agree to be accountable for all aspects of the work</w:t>
      </w:r>
      <w:r w:rsidRPr="00B674CF">
        <w:t>.</w:t>
      </w:r>
    </w:p>
    <w:p w14:paraId="7E48853F" w14:textId="29B5CD60" w:rsidR="00084B5C" w:rsidRPr="00A614B7" w:rsidRDefault="005073CE" w:rsidP="00A614B7">
      <w:pPr>
        <w:spacing w:after="0" w:line="360" w:lineRule="auto"/>
        <w:jc w:val="both"/>
        <w:rPr>
          <w:rFonts w:ascii="Times New Roman" w:hAnsi="Times New Roman" w:cs="Times New Roman"/>
          <w:b/>
          <w:sz w:val="20"/>
          <w:szCs w:val="20"/>
        </w:rPr>
      </w:pPr>
      <w:r w:rsidRPr="00A614B7">
        <w:rPr>
          <w:rFonts w:ascii="Times New Roman" w:hAnsi="Times New Roman" w:cs="Times New Roman"/>
          <w:b/>
          <w:sz w:val="20"/>
          <w:szCs w:val="20"/>
        </w:rPr>
        <w:t>References</w:t>
      </w:r>
      <w:r w:rsidR="005A13BF" w:rsidRPr="00A614B7">
        <w:rPr>
          <w:rFonts w:ascii="Times New Roman" w:hAnsi="Times New Roman" w:cs="Times New Roman"/>
          <w:noProof/>
          <w:sz w:val="20"/>
          <w:szCs w:val="20"/>
        </w:rPr>
        <mc:AlternateContent>
          <mc:Choice Requires="wps">
            <w:drawing>
              <wp:anchor distT="0" distB="0" distL="0" distR="0" simplePos="0" relativeHeight="251659264" behindDoc="1" locked="0" layoutInCell="1" allowOverlap="1" wp14:anchorId="0DFDA4C1" wp14:editId="2F5CA4B7">
                <wp:simplePos x="0" y="0"/>
                <wp:positionH relativeFrom="page">
                  <wp:posOffset>-12700</wp:posOffset>
                </wp:positionH>
                <wp:positionV relativeFrom="page">
                  <wp:posOffset>-12700</wp:posOffset>
                </wp:positionV>
                <wp:extent cx="38100" cy="38100"/>
                <wp:effectExtent l="0" t="0" r="3175" b="3175"/>
                <wp:wrapNone/>
                <wp:docPr id="67960080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381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99891" id="Rectangle 2" o:spid="_x0000_s1026" style="position:absolute;margin-left:-1pt;margin-top:-1pt;width:3pt;height:3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" filled="f" stroked="f">
                <w10:wrap anchorx="page" anchory="page"/>
              </v:rect>
            </w:pict>
          </mc:Fallback>
        </mc:AlternateContent>
      </w:r>
      <w:bookmarkStart w:id="0" w:name="br1_12"/>
      <w:bookmarkEnd w:id="0"/>
    </w:p>
    <w:p w14:paraId="3EE31788" w14:textId="77777777" w:rsidR="00CD2508" w:rsidRPr="00A614B7" w:rsidRDefault="00084B5C"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fldChar w:fldCharType="begin"/>
      </w:r>
      <w:r w:rsidRPr="00A614B7">
        <w:rPr>
          <w:rFonts w:ascii="Times New Roman" w:hAnsi="Times New Roman" w:cs="Times New Roman"/>
          <w:sz w:val="20"/>
          <w:szCs w:val="20"/>
        </w:rPr>
        <w:instrText xml:space="preserve"> ADDIN EN.REFLIST </w:instrText>
      </w:r>
      <w:r w:rsidRPr="00A614B7">
        <w:rPr>
          <w:rFonts w:ascii="Times New Roman" w:hAnsi="Times New Roman" w:cs="Times New Roman"/>
          <w:sz w:val="20"/>
          <w:szCs w:val="20"/>
        </w:rPr>
        <w:fldChar w:fldCharType="separate"/>
      </w:r>
      <w:r w:rsidR="00CD2508" w:rsidRPr="00A614B7">
        <w:rPr>
          <w:rFonts w:ascii="Times New Roman" w:hAnsi="Times New Roman" w:cs="Times New Roman"/>
          <w:sz w:val="20"/>
          <w:szCs w:val="20"/>
        </w:rPr>
        <w:t>1.</w:t>
      </w:r>
      <w:r w:rsidR="00CD2508" w:rsidRPr="00A614B7">
        <w:rPr>
          <w:rFonts w:ascii="Times New Roman" w:hAnsi="Times New Roman" w:cs="Times New Roman"/>
          <w:sz w:val="20"/>
          <w:szCs w:val="20"/>
        </w:rPr>
        <w:tab/>
        <w:t>Garg RK, Malhotra HS, Jain A, Malhotra KP. Dengue-associated neuromuscular complications. Neurology India. 2015;63(4).</w:t>
      </w:r>
    </w:p>
    <w:p w14:paraId="6CED74AF"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2.</w:t>
      </w:r>
      <w:r w:rsidRPr="00A614B7">
        <w:rPr>
          <w:rFonts w:ascii="Times New Roman" w:hAnsi="Times New Roman" w:cs="Times New Roman"/>
          <w:sz w:val="20"/>
          <w:szCs w:val="20"/>
        </w:rPr>
        <w:tab/>
        <w:t>Brady OJ, Gething PW, Bhatt S, Messina JP, Brownstein JS, Hoen AG, et al. Refining the global spatial limits of dengue virus transmission by evidence-based consensus. PLoS Negl Trop Dis. 2012;6(8):e1760.</w:t>
      </w:r>
    </w:p>
    <w:p w14:paraId="2BFD0CBA" w14:textId="7724E176"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3.</w:t>
      </w:r>
      <w:r w:rsidRPr="00A614B7">
        <w:rPr>
          <w:rFonts w:ascii="Times New Roman" w:hAnsi="Times New Roman" w:cs="Times New Roman"/>
          <w:sz w:val="20"/>
          <w:szCs w:val="20"/>
        </w:rPr>
        <w:tab/>
        <w:t xml:space="preserve">Organization WH. Dengue - Pakistan [Internet]. 2022 [cited 2025 May 25]. Available from: </w:t>
      </w:r>
      <w:hyperlink r:id="rId7" w:history="1">
        <w:r w:rsidRPr="00A614B7">
          <w:rPr>
            <w:rStyle w:val="Hyperlink"/>
            <w:rFonts w:ascii="Times New Roman" w:hAnsi="Times New Roman" w:cs="Times New Roman"/>
            <w:sz w:val="20"/>
            <w:szCs w:val="20"/>
          </w:rPr>
          <w:t>https://www.who.int/emergencies/disease-outbreak-news/item/2022-DON414</w:t>
        </w:r>
      </w:hyperlink>
      <w:r w:rsidRPr="00A614B7">
        <w:rPr>
          <w:rFonts w:ascii="Times New Roman" w:hAnsi="Times New Roman" w:cs="Times New Roman"/>
          <w:sz w:val="20"/>
          <w:szCs w:val="20"/>
        </w:rPr>
        <w:t>.</w:t>
      </w:r>
    </w:p>
    <w:p w14:paraId="71BF7F90"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4.</w:t>
      </w:r>
      <w:r w:rsidRPr="00A614B7">
        <w:rPr>
          <w:rFonts w:ascii="Times New Roman" w:hAnsi="Times New Roman" w:cs="Times New Roman"/>
          <w:sz w:val="20"/>
          <w:szCs w:val="20"/>
        </w:rPr>
        <w:tab/>
        <w:t>Guard RW, Stallman ND, Wiemers MA. Dengue in the northern region of Queensland, 1981-1982. Med J Aust. 1984;140(13):765–9.</w:t>
      </w:r>
    </w:p>
    <w:p w14:paraId="407111B7"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5.</w:t>
      </w:r>
      <w:r w:rsidRPr="00A614B7">
        <w:rPr>
          <w:rFonts w:ascii="Times New Roman" w:hAnsi="Times New Roman" w:cs="Times New Roman"/>
          <w:sz w:val="20"/>
          <w:szCs w:val="20"/>
        </w:rPr>
        <w:tab/>
        <w:t>Halsey ES, Marks MA, Gotuzzo E, Fiestas V, Suarez L, Vargas J, et al. Correlation of serotype-specific dengue virus infection with clinical manifestations. PLoS Negl Trop Dis. 2012;6(5):e1638.</w:t>
      </w:r>
    </w:p>
    <w:p w14:paraId="343E24CA"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6.</w:t>
      </w:r>
      <w:r w:rsidRPr="00A614B7">
        <w:rPr>
          <w:rFonts w:ascii="Times New Roman" w:hAnsi="Times New Roman" w:cs="Times New Roman"/>
          <w:sz w:val="20"/>
          <w:szCs w:val="20"/>
        </w:rPr>
        <w:tab/>
        <w:t>Mohammed HP, Ramos MM, Rivera A, Johansson M, Muñoz-Jordan JL, Sun W, et al. Travel-associated dengue infections in the United States, 1996 to 2005. J Travel Med. 2010;17(1):8–14.</w:t>
      </w:r>
    </w:p>
    <w:p w14:paraId="6B9A4E00"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7.</w:t>
      </w:r>
      <w:r w:rsidRPr="00A614B7">
        <w:rPr>
          <w:rFonts w:ascii="Times New Roman" w:hAnsi="Times New Roman" w:cs="Times New Roman"/>
          <w:sz w:val="20"/>
          <w:szCs w:val="20"/>
        </w:rPr>
        <w:tab/>
        <w:t>Dalugama C, Ralapanawa U, Jayalath T. Dengue Myositis and Review of Literature. 2017;2:16–8.</w:t>
      </w:r>
    </w:p>
    <w:p w14:paraId="728E6878"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8.</w:t>
      </w:r>
      <w:r w:rsidRPr="00A614B7">
        <w:rPr>
          <w:rFonts w:ascii="Times New Roman" w:hAnsi="Times New Roman" w:cs="Times New Roman"/>
          <w:sz w:val="20"/>
          <w:szCs w:val="20"/>
        </w:rPr>
        <w:tab/>
        <w:t>Sadiqa A, Hayyan U, Waqar Z, Pasha T. Myositis as a complication of dengue viral infection. Pakistan Journal of Neurological Sciences. 2023;18(01).</w:t>
      </w:r>
    </w:p>
    <w:p w14:paraId="33A3B2E6"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9.</w:t>
      </w:r>
      <w:r w:rsidRPr="00A614B7">
        <w:rPr>
          <w:rFonts w:ascii="Times New Roman" w:hAnsi="Times New Roman" w:cs="Times New Roman"/>
          <w:sz w:val="20"/>
          <w:szCs w:val="20"/>
        </w:rPr>
        <w:tab/>
        <w:t>Putri A, Arunsodsai W, Hattasingh W, Sirinam S. DENV-1 infection with rhabdomyolysis in an adolescent: A case report and review of challenge in early diagnosis and treatment. Heliyon. 2024;10(17):e36379.</w:t>
      </w:r>
    </w:p>
    <w:p w14:paraId="75712EB4"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10.</w:t>
      </w:r>
      <w:r w:rsidRPr="00A614B7">
        <w:rPr>
          <w:rFonts w:ascii="Times New Roman" w:hAnsi="Times New Roman" w:cs="Times New Roman"/>
          <w:sz w:val="20"/>
          <w:szCs w:val="20"/>
        </w:rPr>
        <w:tab/>
        <w:t>Gulia M, Dalal P, Gupta M, Kaur D. Concurrent Guillain-Barré syndrome and myositis complicating dengue fever. BMJ Case Rep. 2020;13(2).</w:t>
      </w:r>
    </w:p>
    <w:p w14:paraId="7F833FC0"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11.</w:t>
      </w:r>
      <w:r w:rsidRPr="00A614B7">
        <w:rPr>
          <w:rFonts w:ascii="Times New Roman" w:hAnsi="Times New Roman" w:cs="Times New Roman"/>
          <w:sz w:val="20"/>
          <w:szCs w:val="20"/>
        </w:rPr>
        <w:tab/>
        <w:t>Garg RK, Malhotra HS, Jain A, Malhotra KP. Dengue-associated neuromuscular complications. Neurol India. 2015;63(4):497–516.</w:t>
      </w:r>
    </w:p>
    <w:p w14:paraId="38411DFE"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12.</w:t>
      </w:r>
      <w:r w:rsidRPr="00A614B7">
        <w:rPr>
          <w:rFonts w:ascii="Times New Roman" w:hAnsi="Times New Roman" w:cs="Times New Roman"/>
          <w:sz w:val="20"/>
          <w:szCs w:val="20"/>
        </w:rPr>
        <w:tab/>
        <w:t>Malhotra HS, Garg RK. Dengue-associated hypokalemic paralysis: causal or incidental? J Neurol Sci. 2014;340(1-2):19–25.</w:t>
      </w:r>
    </w:p>
    <w:p w14:paraId="6D1122FB"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13.</w:t>
      </w:r>
      <w:r w:rsidRPr="00A614B7">
        <w:rPr>
          <w:rFonts w:ascii="Times New Roman" w:hAnsi="Times New Roman" w:cs="Times New Roman"/>
          <w:sz w:val="20"/>
          <w:szCs w:val="20"/>
        </w:rPr>
        <w:tab/>
        <w:t>Kulkarni MJ, Sarathi V, Bhalla V, Shivpuri D, Acharya U. Clinico-epidemiological profile of children hospitalized with dengue. Indian J Pediatr. 2010;77(10):1103–7.</w:t>
      </w:r>
    </w:p>
    <w:p w14:paraId="4FEA5ED5"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14.</w:t>
      </w:r>
      <w:r w:rsidRPr="00A614B7">
        <w:rPr>
          <w:rFonts w:ascii="Times New Roman" w:hAnsi="Times New Roman" w:cs="Times New Roman"/>
          <w:sz w:val="20"/>
          <w:szCs w:val="20"/>
        </w:rPr>
        <w:tab/>
        <w:t>Rajajee S, Ezhilarasi S, Rajarajan K. Benign acute childhood myositis. Indian J Pediatr. 2005;72(5):399–400.</w:t>
      </w:r>
    </w:p>
    <w:p w14:paraId="2CA4B6B2"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15.</w:t>
      </w:r>
      <w:r w:rsidRPr="00A614B7">
        <w:rPr>
          <w:rFonts w:ascii="Times New Roman" w:hAnsi="Times New Roman" w:cs="Times New Roman"/>
          <w:sz w:val="20"/>
          <w:szCs w:val="20"/>
        </w:rPr>
        <w:tab/>
        <w:t>Paliwal VK, Garg RK, Juyal R, Husain N, Verma R, Sharma PK, et al. Acute dengue virus myositis: a report of seven patients of varying clinical severity including two cases with severe fulminant myositis. J Neurol Sci. 2011;300(1-2):14–8.</w:t>
      </w:r>
    </w:p>
    <w:p w14:paraId="47BD5E49"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16.</w:t>
      </w:r>
      <w:r w:rsidRPr="00A614B7">
        <w:rPr>
          <w:rFonts w:ascii="Times New Roman" w:hAnsi="Times New Roman" w:cs="Times New Roman"/>
          <w:sz w:val="20"/>
          <w:szCs w:val="20"/>
        </w:rPr>
        <w:tab/>
        <w:t>Sangle SA, Dasgupta A, Ratnalikar SD, Kulkarni RV. Dengue myositis and myocarditis. Neurol India. 2010;58(4):598–9.</w:t>
      </w:r>
    </w:p>
    <w:p w14:paraId="19431D51"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lastRenderedPageBreak/>
        <w:t>17.</w:t>
      </w:r>
      <w:r w:rsidRPr="00A614B7">
        <w:rPr>
          <w:rFonts w:ascii="Times New Roman" w:hAnsi="Times New Roman" w:cs="Times New Roman"/>
          <w:sz w:val="20"/>
          <w:szCs w:val="20"/>
        </w:rPr>
        <w:tab/>
        <w:t>Sargeant T, Harris T, Wilks R, Barned S, Galloway-Blake K, Ferguson T. Rhabdomyolysis and dengue Fever: a case report and literature review. Case Rep Med. 2013;2013:101058.</w:t>
      </w:r>
    </w:p>
    <w:p w14:paraId="028FE439"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18.</w:t>
      </w:r>
      <w:r w:rsidRPr="00A614B7">
        <w:rPr>
          <w:rFonts w:ascii="Times New Roman" w:hAnsi="Times New Roman" w:cs="Times New Roman"/>
          <w:sz w:val="20"/>
          <w:szCs w:val="20"/>
        </w:rPr>
        <w:tab/>
        <w:t>Acharya S, Shukla S, Mahajan SN, Diwan SK. Acute dengue myositis with rhabdomyolysis and acute renal failure. Ann Indian Acad Neurol. 2010;13(3):221–2.</w:t>
      </w:r>
    </w:p>
    <w:p w14:paraId="71FD15E0"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19.</w:t>
      </w:r>
      <w:r w:rsidRPr="00A614B7">
        <w:rPr>
          <w:rFonts w:ascii="Times New Roman" w:hAnsi="Times New Roman" w:cs="Times New Roman"/>
          <w:sz w:val="20"/>
          <w:szCs w:val="20"/>
        </w:rPr>
        <w:tab/>
        <w:t>Hira HS, Kaur A, Shukla A. Acute neuromuscular weakness associated with dengue infection. J Neurosci Rural Pract. 2012;3(1):36–9.</w:t>
      </w:r>
    </w:p>
    <w:p w14:paraId="47A87E33" w14:textId="77777777" w:rsidR="00CD2508" w:rsidRPr="00A614B7" w:rsidRDefault="00CD2508" w:rsidP="00A614B7">
      <w:pPr>
        <w:pStyle w:val="EndNoteBibliography"/>
        <w:spacing w:after="0"/>
        <w:jc w:val="both"/>
        <w:rPr>
          <w:rFonts w:ascii="Times New Roman" w:hAnsi="Times New Roman" w:cs="Times New Roman"/>
          <w:sz w:val="20"/>
          <w:szCs w:val="20"/>
        </w:rPr>
      </w:pPr>
      <w:r w:rsidRPr="00A614B7">
        <w:rPr>
          <w:rFonts w:ascii="Times New Roman" w:hAnsi="Times New Roman" w:cs="Times New Roman"/>
          <w:sz w:val="20"/>
          <w:szCs w:val="20"/>
        </w:rPr>
        <w:t>20.</w:t>
      </w:r>
      <w:r w:rsidRPr="00A614B7">
        <w:rPr>
          <w:rFonts w:ascii="Times New Roman" w:hAnsi="Times New Roman" w:cs="Times New Roman"/>
          <w:sz w:val="20"/>
          <w:szCs w:val="20"/>
        </w:rPr>
        <w:tab/>
        <w:t>Kayal AK, Goswami M, Das M, Jain R. Clinical and biochemical spectrum of hypokalemic paralysis in North: East India. Ann Indian Acad Neurol. 2013;16(2):211–7.</w:t>
      </w:r>
    </w:p>
    <w:p w14:paraId="522FB092" w14:textId="68B01F2A" w:rsidR="00245A57" w:rsidRPr="00A614B7" w:rsidRDefault="00084B5C" w:rsidP="00A614B7">
      <w:pPr>
        <w:spacing w:after="0" w:line="360" w:lineRule="auto"/>
        <w:jc w:val="both"/>
        <w:rPr>
          <w:rFonts w:ascii="Times New Roman" w:hAnsi="Times New Roman" w:cs="Times New Roman"/>
          <w:sz w:val="20"/>
          <w:szCs w:val="20"/>
        </w:rPr>
      </w:pPr>
      <w:r w:rsidRPr="00A614B7">
        <w:rPr>
          <w:rFonts w:ascii="Times New Roman" w:hAnsi="Times New Roman" w:cs="Times New Roman"/>
          <w:sz w:val="20"/>
          <w:szCs w:val="20"/>
        </w:rPr>
        <w:fldChar w:fldCharType="end"/>
      </w:r>
    </w:p>
    <w:sectPr w:rsidR="00245A57" w:rsidRPr="00A614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hybridMultilevel"/>
    <w:tmpl w:val="60C245B4"/>
    <w:lvl w:ilvl="0" w:tplc="0409000B">
      <w:start w:val="1"/>
      <w:numFmt w:val="bullet"/>
      <w:lvlText w:val=""/>
      <w:lvlJc w:val="left"/>
      <w:pPr>
        <w:ind w:left="45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23D489A"/>
    <w:multiLevelType w:val="multilevel"/>
    <w:tmpl w:val="1EE2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0863CE"/>
    <w:multiLevelType w:val="hybridMultilevel"/>
    <w:tmpl w:val="25465170"/>
    <w:lvl w:ilvl="0" w:tplc="0409000B">
      <w:start w:val="1"/>
      <w:numFmt w:val="bullet"/>
      <w:lvlText w:val=""/>
      <w:lvlJc w:val="left"/>
      <w:pPr>
        <w:ind w:left="45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F7F5384"/>
    <w:multiLevelType w:val="hybridMultilevel"/>
    <w:tmpl w:val="734A6B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12317902">
    <w:abstractNumId w:val="2"/>
  </w:num>
  <w:num w:numId="2" w16cid:durableId="1497766583">
    <w:abstractNumId w:val="0"/>
  </w:num>
  <w:num w:numId="3" w16cid:durableId="9375663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72568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A13BF"/>
    <w:rsid w:val="00002996"/>
    <w:rsid w:val="00014389"/>
    <w:rsid w:val="000709DA"/>
    <w:rsid w:val="0007199B"/>
    <w:rsid w:val="00084B5C"/>
    <w:rsid w:val="000B778B"/>
    <w:rsid w:val="000C5059"/>
    <w:rsid w:val="000D2D8C"/>
    <w:rsid w:val="000E06F1"/>
    <w:rsid w:val="0011376D"/>
    <w:rsid w:val="001177E5"/>
    <w:rsid w:val="00117D65"/>
    <w:rsid w:val="00121000"/>
    <w:rsid w:val="001219B8"/>
    <w:rsid w:val="00134BCD"/>
    <w:rsid w:val="0017103E"/>
    <w:rsid w:val="0017764F"/>
    <w:rsid w:val="00180E34"/>
    <w:rsid w:val="001C0423"/>
    <w:rsid w:val="001C1A98"/>
    <w:rsid w:val="001D0348"/>
    <w:rsid w:val="00217AE8"/>
    <w:rsid w:val="00245A57"/>
    <w:rsid w:val="002608F2"/>
    <w:rsid w:val="00260CB1"/>
    <w:rsid w:val="002846A4"/>
    <w:rsid w:val="002927DD"/>
    <w:rsid w:val="002A19BB"/>
    <w:rsid w:val="002C4F46"/>
    <w:rsid w:val="002D6D86"/>
    <w:rsid w:val="00337CA5"/>
    <w:rsid w:val="0034173E"/>
    <w:rsid w:val="003472EE"/>
    <w:rsid w:val="00362D90"/>
    <w:rsid w:val="00386D0A"/>
    <w:rsid w:val="00395336"/>
    <w:rsid w:val="003954CC"/>
    <w:rsid w:val="003C1127"/>
    <w:rsid w:val="00401135"/>
    <w:rsid w:val="00441EF8"/>
    <w:rsid w:val="00465FCC"/>
    <w:rsid w:val="00472591"/>
    <w:rsid w:val="004D12E8"/>
    <w:rsid w:val="004E452B"/>
    <w:rsid w:val="005073CE"/>
    <w:rsid w:val="00596439"/>
    <w:rsid w:val="005A13BF"/>
    <w:rsid w:val="005A5B05"/>
    <w:rsid w:val="005A5CC5"/>
    <w:rsid w:val="005B24AF"/>
    <w:rsid w:val="005C0980"/>
    <w:rsid w:val="00605FB2"/>
    <w:rsid w:val="00611FAB"/>
    <w:rsid w:val="00621DBA"/>
    <w:rsid w:val="00627301"/>
    <w:rsid w:val="00637A52"/>
    <w:rsid w:val="00652278"/>
    <w:rsid w:val="006977A3"/>
    <w:rsid w:val="006B1B8B"/>
    <w:rsid w:val="006B37E4"/>
    <w:rsid w:val="006E13DB"/>
    <w:rsid w:val="00734ADF"/>
    <w:rsid w:val="0079583C"/>
    <w:rsid w:val="00795B0F"/>
    <w:rsid w:val="007A56EE"/>
    <w:rsid w:val="007C0573"/>
    <w:rsid w:val="008042D4"/>
    <w:rsid w:val="00814B2E"/>
    <w:rsid w:val="00834997"/>
    <w:rsid w:val="00855957"/>
    <w:rsid w:val="0086670B"/>
    <w:rsid w:val="0089745B"/>
    <w:rsid w:val="008A1528"/>
    <w:rsid w:val="008D02FF"/>
    <w:rsid w:val="008D2638"/>
    <w:rsid w:val="008D48EF"/>
    <w:rsid w:val="008E5F81"/>
    <w:rsid w:val="008E7E1F"/>
    <w:rsid w:val="008F1562"/>
    <w:rsid w:val="008F3F15"/>
    <w:rsid w:val="008F4427"/>
    <w:rsid w:val="008F4CD8"/>
    <w:rsid w:val="00900026"/>
    <w:rsid w:val="009139FF"/>
    <w:rsid w:val="00913D32"/>
    <w:rsid w:val="00926855"/>
    <w:rsid w:val="0092775E"/>
    <w:rsid w:val="009341BB"/>
    <w:rsid w:val="00960941"/>
    <w:rsid w:val="00963792"/>
    <w:rsid w:val="009842B8"/>
    <w:rsid w:val="009C4DF2"/>
    <w:rsid w:val="009C710B"/>
    <w:rsid w:val="009E402B"/>
    <w:rsid w:val="00A16403"/>
    <w:rsid w:val="00A255E5"/>
    <w:rsid w:val="00A27C19"/>
    <w:rsid w:val="00A614B7"/>
    <w:rsid w:val="00A85D53"/>
    <w:rsid w:val="00B02800"/>
    <w:rsid w:val="00B051A6"/>
    <w:rsid w:val="00B365FB"/>
    <w:rsid w:val="00B674CF"/>
    <w:rsid w:val="00BA7330"/>
    <w:rsid w:val="00BB4FF6"/>
    <w:rsid w:val="00BB525C"/>
    <w:rsid w:val="00BB64F3"/>
    <w:rsid w:val="00BD1972"/>
    <w:rsid w:val="00C14688"/>
    <w:rsid w:val="00C22D04"/>
    <w:rsid w:val="00C80DD6"/>
    <w:rsid w:val="00C87EA4"/>
    <w:rsid w:val="00CD2508"/>
    <w:rsid w:val="00CF2F6E"/>
    <w:rsid w:val="00D831C8"/>
    <w:rsid w:val="00D84162"/>
    <w:rsid w:val="00DC0608"/>
    <w:rsid w:val="00DD5619"/>
    <w:rsid w:val="00DE3742"/>
    <w:rsid w:val="00E10D28"/>
    <w:rsid w:val="00E10FF4"/>
    <w:rsid w:val="00E52E9C"/>
    <w:rsid w:val="00E662B9"/>
    <w:rsid w:val="00F02838"/>
    <w:rsid w:val="00F15D20"/>
    <w:rsid w:val="00F75C58"/>
    <w:rsid w:val="00F77F77"/>
    <w:rsid w:val="00FB19AB"/>
    <w:rsid w:val="00FB635A"/>
    <w:rsid w:val="00FB68D9"/>
    <w:rsid w:val="00FC5F1F"/>
    <w:rsid w:val="00FF4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13E1A"/>
  <w15:chartTrackingRefBased/>
  <w15:docId w15:val="{7F1C7F94-FCE7-4C89-AC3E-643BD2B1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13B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A13B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A13B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A13B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A13B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A13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13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13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13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3B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A13B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A13B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A13B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A13B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A13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13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13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13BF"/>
    <w:rPr>
      <w:rFonts w:eastAsiaTheme="majorEastAsia" w:cstheme="majorBidi"/>
      <w:color w:val="272727" w:themeColor="text1" w:themeTint="D8"/>
    </w:rPr>
  </w:style>
  <w:style w:type="paragraph" w:styleId="Title">
    <w:name w:val="Title"/>
    <w:basedOn w:val="Normal"/>
    <w:next w:val="Normal"/>
    <w:link w:val="TitleChar"/>
    <w:uiPriority w:val="10"/>
    <w:qFormat/>
    <w:rsid w:val="005A1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3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3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13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13BF"/>
    <w:pPr>
      <w:spacing w:before="160"/>
      <w:jc w:val="center"/>
    </w:pPr>
    <w:rPr>
      <w:i/>
      <w:iCs/>
      <w:color w:val="404040" w:themeColor="text1" w:themeTint="BF"/>
    </w:rPr>
  </w:style>
  <w:style w:type="character" w:customStyle="1" w:styleId="QuoteChar">
    <w:name w:val="Quote Char"/>
    <w:basedOn w:val="DefaultParagraphFont"/>
    <w:link w:val="Quote"/>
    <w:uiPriority w:val="29"/>
    <w:rsid w:val="005A13BF"/>
    <w:rPr>
      <w:i/>
      <w:iCs/>
      <w:color w:val="404040" w:themeColor="text1" w:themeTint="BF"/>
    </w:rPr>
  </w:style>
  <w:style w:type="paragraph" w:styleId="ListParagraph">
    <w:name w:val="List Paragraph"/>
    <w:basedOn w:val="Normal"/>
    <w:uiPriority w:val="34"/>
    <w:qFormat/>
    <w:rsid w:val="005A13BF"/>
    <w:pPr>
      <w:ind w:left="720"/>
      <w:contextualSpacing/>
    </w:pPr>
  </w:style>
  <w:style w:type="character" w:styleId="IntenseEmphasis">
    <w:name w:val="Intense Emphasis"/>
    <w:basedOn w:val="DefaultParagraphFont"/>
    <w:uiPriority w:val="21"/>
    <w:qFormat/>
    <w:rsid w:val="005A13BF"/>
    <w:rPr>
      <w:i/>
      <w:iCs/>
      <w:color w:val="2E74B5" w:themeColor="accent1" w:themeShade="BF"/>
    </w:rPr>
  </w:style>
  <w:style w:type="paragraph" w:styleId="IntenseQuote">
    <w:name w:val="Intense Quote"/>
    <w:basedOn w:val="Normal"/>
    <w:next w:val="Normal"/>
    <w:link w:val="IntenseQuoteChar"/>
    <w:uiPriority w:val="30"/>
    <w:qFormat/>
    <w:rsid w:val="005A13B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A13BF"/>
    <w:rPr>
      <w:i/>
      <w:iCs/>
      <w:color w:val="2E74B5" w:themeColor="accent1" w:themeShade="BF"/>
    </w:rPr>
  </w:style>
  <w:style w:type="character" w:styleId="IntenseReference">
    <w:name w:val="Intense Reference"/>
    <w:basedOn w:val="DefaultParagraphFont"/>
    <w:uiPriority w:val="32"/>
    <w:qFormat/>
    <w:rsid w:val="005A13BF"/>
    <w:rPr>
      <w:b/>
      <w:bCs/>
      <w:smallCaps/>
      <w:color w:val="2E74B5" w:themeColor="accent1" w:themeShade="BF"/>
      <w:spacing w:val="5"/>
    </w:rPr>
  </w:style>
  <w:style w:type="character" w:styleId="Hyperlink">
    <w:name w:val="Hyperlink"/>
    <w:basedOn w:val="DefaultParagraphFont"/>
    <w:uiPriority w:val="99"/>
    <w:unhideWhenUsed/>
    <w:rsid w:val="005A13BF"/>
    <w:rPr>
      <w:color w:val="0563C1" w:themeColor="hyperlink"/>
      <w:u w:val="single"/>
    </w:rPr>
  </w:style>
  <w:style w:type="character" w:customStyle="1" w:styleId="UnresolvedMention1">
    <w:name w:val="Unresolved Mention1"/>
    <w:basedOn w:val="DefaultParagraphFont"/>
    <w:uiPriority w:val="99"/>
    <w:semiHidden/>
    <w:unhideWhenUsed/>
    <w:rsid w:val="005A13BF"/>
    <w:rPr>
      <w:color w:val="605E5C"/>
      <w:shd w:val="clear" w:color="auto" w:fill="E1DFDD"/>
    </w:rPr>
  </w:style>
  <w:style w:type="paragraph" w:styleId="NormalWeb">
    <w:name w:val="Normal (Web)"/>
    <w:basedOn w:val="Normal"/>
    <w:uiPriority w:val="99"/>
    <w:unhideWhenUsed/>
    <w:rsid w:val="0096094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s-markdown-paragraph">
    <w:name w:val="ds-markdown-paragraph"/>
    <w:basedOn w:val="Normal"/>
    <w:link w:val="ds-markdown-paragraphChar"/>
    <w:rsid w:val="004E452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4E452B"/>
    <w:rPr>
      <w:i/>
      <w:iCs/>
    </w:rPr>
  </w:style>
  <w:style w:type="paragraph" w:customStyle="1" w:styleId="EndNoteBibliographyTitle">
    <w:name w:val="EndNote Bibliography Title"/>
    <w:basedOn w:val="Normal"/>
    <w:link w:val="EndNoteBibliographyTitleChar"/>
    <w:rsid w:val="00245A57"/>
    <w:pPr>
      <w:spacing w:after="0"/>
      <w:jc w:val="center"/>
    </w:pPr>
    <w:rPr>
      <w:rFonts w:ascii="Calibri" w:hAnsi="Calibri" w:cs="Calibri"/>
      <w:noProof/>
    </w:rPr>
  </w:style>
  <w:style w:type="character" w:customStyle="1" w:styleId="ds-markdown-paragraphChar">
    <w:name w:val="ds-markdown-paragraph Char"/>
    <w:basedOn w:val="DefaultParagraphFont"/>
    <w:link w:val="ds-markdown-paragraph"/>
    <w:rsid w:val="00245A57"/>
    <w:rPr>
      <w:rFonts w:ascii="Times New Roman" w:eastAsia="Times New Roman" w:hAnsi="Times New Roman" w:cs="Times New Roman"/>
      <w:kern w:val="0"/>
      <w14:ligatures w14:val="none"/>
    </w:rPr>
  </w:style>
  <w:style w:type="character" w:customStyle="1" w:styleId="EndNoteBibliographyTitleChar">
    <w:name w:val="EndNote Bibliography Title Char"/>
    <w:basedOn w:val="ds-markdown-paragraphChar"/>
    <w:link w:val="EndNoteBibliographyTitle"/>
    <w:rsid w:val="00245A57"/>
    <w:rPr>
      <w:rFonts w:ascii="Calibri" w:eastAsia="Times New Roman" w:hAnsi="Calibri" w:cs="Calibri"/>
      <w:noProof/>
      <w:kern w:val="0"/>
      <w14:ligatures w14:val="none"/>
    </w:rPr>
  </w:style>
  <w:style w:type="paragraph" w:customStyle="1" w:styleId="EndNoteBibliography">
    <w:name w:val="EndNote Bibliography"/>
    <w:basedOn w:val="Normal"/>
    <w:link w:val="EndNoteBibliographyChar"/>
    <w:rsid w:val="00245A57"/>
    <w:pPr>
      <w:spacing w:line="240" w:lineRule="auto"/>
    </w:pPr>
    <w:rPr>
      <w:rFonts w:ascii="Calibri" w:hAnsi="Calibri" w:cs="Calibri"/>
      <w:noProof/>
    </w:rPr>
  </w:style>
  <w:style w:type="character" w:customStyle="1" w:styleId="EndNoteBibliographyChar">
    <w:name w:val="EndNote Bibliography Char"/>
    <w:basedOn w:val="ds-markdown-paragraphChar"/>
    <w:link w:val="EndNoteBibliography"/>
    <w:rsid w:val="00245A57"/>
    <w:rPr>
      <w:rFonts w:ascii="Calibri" w:eastAsia="Times New Roman" w:hAnsi="Calibri" w:cs="Calibri"/>
      <w:noProof/>
      <w:kern w:val="0"/>
      <w14:ligatures w14:val="none"/>
    </w:rPr>
  </w:style>
  <w:style w:type="character" w:styleId="FollowedHyperlink">
    <w:name w:val="FollowedHyperlink"/>
    <w:basedOn w:val="DefaultParagraphFont"/>
    <w:uiPriority w:val="99"/>
    <w:semiHidden/>
    <w:unhideWhenUsed/>
    <w:rsid w:val="00605FB2"/>
    <w:rPr>
      <w:color w:val="954F72" w:themeColor="followedHyperlink"/>
      <w:u w:val="single"/>
    </w:rPr>
  </w:style>
  <w:style w:type="table" w:styleId="TableGrid">
    <w:name w:val="Table Grid"/>
    <w:basedOn w:val="TableNormal"/>
    <w:uiPriority w:val="39"/>
    <w:rsid w:val="008D0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139FF"/>
    <w:pPr>
      <w:spacing w:after="0" w:line="240" w:lineRule="auto"/>
    </w:pPr>
  </w:style>
  <w:style w:type="character" w:styleId="CommentReference">
    <w:name w:val="annotation reference"/>
    <w:basedOn w:val="DefaultParagraphFont"/>
    <w:uiPriority w:val="99"/>
    <w:semiHidden/>
    <w:unhideWhenUsed/>
    <w:rsid w:val="0079583C"/>
    <w:rPr>
      <w:sz w:val="16"/>
      <w:szCs w:val="16"/>
    </w:rPr>
  </w:style>
  <w:style w:type="paragraph" w:styleId="CommentText">
    <w:name w:val="annotation text"/>
    <w:basedOn w:val="Normal"/>
    <w:link w:val="CommentTextChar"/>
    <w:uiPriority w:val="99"/>
    <w:semiHidden/>
    <w:unhideWhenUsed/>
    <w:rsid w:val="0079583C"/>
    <w:pPr>
      <w:spacing w:line="240" w:lineRule="auto"/>
    </w:pPr>
    <w:rPr>
      <w:sz w:val="20"/>
      <w:szCs w:val="20"/>
    </w:rPr>
  </w:style>
  <w:style w:type="character" w:customStyle="1" w:styleId="CommentTextChar">
    <w:name w:val="Comment Text Char"/>
    <w:basedOn w:val="DefaultParagraphFont"/>
    <w:link w:val="CommentText"/>
    <w:uiPriority w:val="99"/>
    <w:semiHidden/>
    <w:rsid w:val="0079583C"/>
    <w:rPr>
      <w:sz w:val="20"/>
      <w:szCs w:val="20"/>
    </w:rPr>
  </w:style>
  <w:style w:type="paragraph" w:styleId="CommentSubject">
    <w:name w:val="annotation subject"/>
    <w:basedOn w:val="CommentText"/>
    <w:next w:val="CommentText"/>
    <w:link w:val="CommentSubjectChar"/>
    <w:uiPriority w:val="99"/>
    <w:semiHidden/>
    <w:unhideWhenUsed/>
    <w:rsid w:val="0079583C"/>
    <w:rPr>
      <w:b/>
      <w:bCs/>
    </w:rPr>
  </w:style>
  <w:style w:type="character" w:customStyle="1" w:styleId="CommentSubjectChar">
    <w:name w:val="Comment Subject Char"/>
    <w:basedOn w:val="CommentTextChar"/>
    <w:link w:val="CommentSubject"/>
    <w:uiPriority w:val="99"/>
    <w:semiHidden/>
    <w:rsid w:val="0079583C"/>
    <w:rPr>
      <w:b/>
      <w:bCs/>
      <w:sz w:val="20"/>
      <w:szCs w:val="20"/>
    </w:rPr>
  </w:style>
  <w:style w:type="character" w:styleId="UnresolvedMention">
    <w:name w:val="Unresolved Mention"/>
    <w:basedOn w:val="DefaultParagraphFont"/>
    <w:uiPriority w:val="99"/>
    <w:semiHidden/>
    <w:unhideWhenUsed/>
    <w:rsid w:val="00121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ho.int/emergencies/disease-outbreak-news/item/2022-DON4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hyperlink" Target="https://doi.org/10.70302/jpsim.v7i3.2637" TargetMode="Externa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5">
                  <a:shade val="76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0FB4-4DCB-8242-5EADB91719A0}"/>
              </c:ext>
            </c:extLst>
          </c:dPt>
          <c:dPt>
            <c:idx val="1"/>
            <c:bubble3D val="0"/>
            <c:spPr>
              <a:solidFill>
                <a:schemeClr val="accent5">
                  <a:tint val="77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0FB4-4DCB-8242-5EADB91719A0}"/>
              </c:ext>
            </c:extLst>
          </c:dPt>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0.00%</c:formatCode>
                <c:ptCount val="2"/>
                <c:pt idx="0">
                  <c:v>0.70699999999999996</c:v>
                </c:pt>
                <c:pt idx="1">
                  <c:v>0.29299999999999998</c:v>
                </c:pt>
              </c:numCache>
            </c:numRef>
          </c:val>
          <c:extLst>
            <c:ext xmlns:c16="http://schemas.microsoft.com/office/drawing/2014/chart" uri="{C3380CC4-5D6E-409C-BE32-E72D297353CC}">
              <c16:uniqueId val="{00000000-CA58-45CB-A565-FA1E923604CC}"/>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1916</TotalTime>
  <Pages>8</Pages>
  <Words>7045</Words>
  <Characters>40160</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Majid</dc:creator>
  <cp:keywords/>
  <dc:description/>
  <cp:lastModifiedBy>PSIM Journal</cp:lastModifiedBy>
  <cp:revision>52</cp:revision>
  <dcterms:created xsi:type="dcterms:W3CDTF">2025-08-17T03:08:00Z</dcterms:created>
  <dcterms:modified xsi:type="dcterms:W3CDTF">2026-08-12T09:36:00Z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b8fee7c0-704e-4c65-bf8a-482e05389e37</vt:lpwstr>
  </property>
</Properties>
</file>